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invoice"/>
    <w:p>
      <w:pPr>
        <w:pStyle w:val="Heading1"/>
      </w:pPr>
      <w:r>
        <w:t xml:space="preserve">INVOICE</w:t>
      </w:r>
    </w:p>
    <w:p>
      <w:pPr>
        <w:pStyle w:val="FirstParagraph"/>
      </w:pPr>
      <w:r>
        <w:t xml:space="preserve">Professional Academic Researcher Services — Egypt Alexandria</w:t>
      </w:r>
    </w:p>
    <w:p>
      <w:pPr>
        <w:pStyle w:val="BodyText"/>
      </w:pPr>
      <w:r>
        <w:t xml:space="preserve">Official Invoice Document</w:t>
      </w:r>
    </w:p>
    <w:bookmarkEnd w:id="20"/>
    <w:p>
      <w:pPr>
        <w:pStyle w:val="BodyText"/>
      </w:pPr>
      <w:r>
        <w:t xml:space="preserve">Invoice Number</w:t>
      </w:r>
    </w:p>
    <w:p>
      <w:pPr>
        <w:pStyle w:val="BodyText"/>
      </w:pPr>
      <w:r>
        <w:t xml:space="preserve">INV-ALX-2025-0047</w:t>
      </w:r>
    </w:p>
    <w:p>
      <w:pPr>
        <w:pStyle w:val="BodyText"/>
      </w:pPr>
      <w:r>
        <w:t xml:space="preserve">Date of Issue</w:t>
      </w:r>
    </w:p>
    <w:p>
      <w:pPr>
        <w:pStyle w:val="BodyText"/>
      </w:pPr>
      <w:r>
        <w:t xml:space="preserve">15 June 2025</w:t>
      </w:r>
    </w:p>
    <w:p>
      <w:pPr>
        <w:pStyle w:val="BodyText"/>
      </w:pPr>
      <w:r>
        <w:t xml:space="preserve">Due Date</w:t>
      </w:r>
    </w:p>
    <w:p>
      <w:pPr>
        <w:pStyle w:val="BodyText"/>
      </w:pPr>
      <w:r>
        <w:t xml:space="preserve">15 July 2025</w:t>
      </w:r>
    </w:p>
    <w:p>
      <w:pPr>
        <w:pStyle w:val="BodyText"/>
      </w:pPr>
      <w:r>
        <w:t xml:space="preserve">Currency</w:t>
      </w:r>
    </w:p>
    <w:p>
      <w:pPr>
        <w:pStyle w:val="BodyText"/>
      </w:pPr>
      <w:r>
        <w:t xml:space="preserve">Egyptian Pound (EGP)</w:t>
      </w:r>
    </w:p>
    <w:bookmarkStart w:id="21" w:name="issued-by-service-provider"/>
    <w:p>
      <w:pPr>
        <w:pStyle w:val="Heading3"/>
      </w:pPr>
      <w:r>
        <w:t xml:space="preserve">Issued By (Service Provider)</w:t>
      </w:r>
    </w:p>
    <w:p>
      <w:pPr>
        <w:pStyle w:val="FirstParagraph"/>
      </w:pPr>
      <w:r>
        <w:rPr>
          <w:bCs/>
          <w:b/>
        </w:rPr>
        <w:t xml:space="preserve">Dr. Mahmoud El-Sayed Hassan</w:t>
      </w:r>
      <w:r>
        <w:br/>
      </w:r>
      <w:r>
        <w:t xml:space="preserve">Academic Researcher &amp; Independent Scholar</w:t>
      </w:r>
      <w:r>
        <w:br/>
      </w:r>
      <w:r>
        <w:t xml:space="preserve">Faculty of Arts, Department of History &amp; Archaeology</w:t>
      </w:r>
      <w:r>
        <w:br/>
      </w:r>
      <w:r>
        <w:t xml:space="preserve">42 Corniche El-Nil Street, El-Ramla District</w:t>
      </w:r>
      <w:r>
        <w:br/>
      </w:r>
      <w:r>
        <w:t xml:space="preserve">Alexandria, Egypt 21543</w:t>
      </w:r>
      <w:r>
        <w:br/>
      </w:r>
      <w:r>
        <w:t xml:space="preserve">Tax Registration No.: TR-ALX-8823456</w:t>
      </w:r>
      <w:r>
        <w:br/>
      </w:r>
      <w:r>
        <w:t xml:space="preserve">Email: m.elsayed@alexresearch.edu.eg</w:t>
      </w:r>
      <w:r>
        <w:br/>
      </w:r>
      <w:r>
        <w:t xml:space="preserve">Phone: +20 3 555 1234</w:t>
      </w:r>
    </w:p>
    <w:bookmarkEnd w:id="21"/>
    <w:bookmarkStart w:id="22" w:name="billed-to-client"/>
    <w:p>
      <w:pPr>
        <w:pStyle w:val="Heading3"/>
      </w:pPr>
      <w:r>
        <w:t xml:space="preserve">Billed To (Client)</w:t>
      </w:r>
    </w:p>
    <w:p>
      <w:pPr>
        <w:pStyle w:val="FirstParagraph"/>
      </w:pPr>
      <w:r>
        <w:rPr>
          <w:bCs/>
          <w:b/>
        </w:rPr>
        <w:t xml:space="preserve">Alexandria University Research &amp; Development Office</w:t>
      </w:r>
      <w:r>
        <w:br/>
      </w:r>
      <w:r>
        <w:t xml:space="preserve">Office of the Vice-Rector for Research</w:t>
      </w:r>
      <w:r>
        <w:br/>
      </w:r>
      <w:r>
        <w:t xml:space="preserve">10 El-Sharag Street, El-Montaza</w:t>
      </w:r>
      <w:r>
        <w:br/>
      </w:r>
      <w:r>
        <w:t xml:space="preserve">Alexandria, Egypt 21321</w:t>
      </w:r>
      <w:r>
        <w:br/>
      </w:r>
      <w:r>
        <w:t xml:space="preserve">Tax Registration No.: TR-ALX-1198765</w:t>
      </w:r>
      <w:r>
        <w:br/>
      </w:r>
      <w:r>
        <w:t xml:space="preserve">Contact: Dr. Fatma Abdel-Rahman</w:t>
      </w:r>
      <w:r>
        <w:br/>
      </w:r>
      <w:r>
        <w:t xml:space="preserve">Email: research-office@alexu.edu.eg</w:t>
      </w:r>
      <w:r>
        <w:br/>
      </w:r>
      <w:r>
        <w:t xml:space="preserve">Phone: +20 3 488 5678</w:t>
      </w:r>
    </w:p>
    <w:bookmarkEnd w:id="22"/>
    <w:bookmarkStart w:id="24" w:name="X65c49adee242fea53cd11cb03e43bd9d97b091f"/>
    <w:p>
      <w:pPr>
        <w:pStyle w:val="Heading2"/>
      </w:pPr>
      <w:r>
        <w:t xml:space="preserve">Description of Academic Researcher Services Rendered</w:t>
      </w:r>
    </w:p>
    <w:p>
      <w:pPr>
        <w:pStyle w:val="FirstParagraph"/>
      </w:pPr>
      <w:r>
        <w:t xml:space="preserve">This Invoice is issued by the undersigned Academic Researcher, Dr. Mahmoud El-Sayed Hassan, in connection with the professional research, analytical, and scholarly services provided to the Alexandria University Research &amp; Development Office during the period of January 2025 through May 2025. The following line items detail the specific deliverables, consulting engagements, and academic contributions for which this Invoice requests payment in accordance with the terms of the executed Service Agreement (Contract No. AURD-2025-012) governing this professional relationship in Egypt Alexandria.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Deliverable Description</w:t>
            </w:r>
          </w:p>
        </w:tc>
        <w:tc>
          <w:tcPr/>
          <w:p>
            <w:pPr>
              <w:pStyle w:val="Compact"/>
              <w:jc w:val="left"/>
            </w:pPr>
            <w:r>
              <w:t xml:space="preserve">Period / Duration</w:t>
            </w:r>
          </w:p>
        </w:tc>
        <w:tc>
          <w:tcPr/>
          <w:p>
            <w:pPr>
              <w:pStyle w:val="Compact"/>
              <w:jc w:val="left"/>
            </w:pPr>
            <w:r>
              <w:t xml:space="preserve">Rate (EGP)</w:t>
            </w:r>
          </w:p>
        </w:tc>
        <w:tc>
          <w:tcPr/>
          <w:p>
            <w:pPr>
              <w:pStyle w:val="Compact"/>
              <w:jc w:val="left"/>
            </w:pPr>
            <w:r>
              <w:t xml:space="preserve">Quantity</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Comprehensive literature review and meta-analysis on Hellenistic urban planning in the Alexandria metropolitan region, including a 45-page annotated bibliography and critical synthesis report.</w:t>
            </w:r>
          </w:p>
        </w:tc>
        <w:tc>
          <w:tcPr/>
          <w:p>
            <w:pPr>
              <w:pStyle w:val="Compact"/>
              <w:jc w:val="left"/>
            </w:pPr>
            <w:r>
              <w:t xml:space="preserve">Jan 2025</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Field research supervision and data collection methodology design for the "Cultural Heritage Preservation in Egypt Alexandria" project, including training of six graduate research assistants.</w:t>
            </w:r>
          </w:p>
        </w:tc>
        <w:tc>
          <w:tcPr/>
          <w:p>
            <w:pPr>
              <w:pStyle w:val="Compact"/>
              <w:jc w:val="left"/>
            </w:pPr>
            <w:r>
              <w:t xml:space="preserve">Feb 2025</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Authorship and peer-review preparation of a 28-page journal article titled "Reassessing Ptolemaic Administrative Structures: New Evidence from the Alexandria Archive," submitted to the Journal of Mediterranean Studies.</w:t>
            </w:r>
          </w:p>
        </w:tc>
        <w:tc>
          <w:tcPr/>
          <w:p>
            <w:pPr>
              <w:pStyle w:val="Compact"/>
              <w:jc w:val="left"/>
            </w:pPr>
            <w:r>
              <w:t xml:space="preserve">Mar 2025</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Consultation and advisory services for the design of a three-year interdisciplinary research grant proposal targeting the Egyptian National Research Fund, including budget justification, work-plan development, and impact assessment narrative.</w:t>
            </w:r>
          </w:p>
        </w:tc>
        <w:tc>
          <w:tcPr/>
          <w:p>
            <w:pPr>
              <w:pStyle w:val="Compact"/>
              <w:jc w:val="left"/>
            </w:pPr>
            <w:r>
              <w:t xml:space="preserve">Apr 2025</w:t>
            </w:r>
          </w:p>
        </w:tc>
        <w:tc>
          <w:tcPr/>
          <w:p>
            <w:pPr>
              <w:pStyle w:val="Compact"/>
              <w:jc w:val="left"/>
            </w:pPr>
            <w:r>
              <w:t xml:space="preserve">10,000</w:t>
            </w:r>
          </w:p>
        </w:tc>
        <w:tc>
          <w:tcPr/>
          <w:p>
            <w:pPr>
              <w:pStyle w:val="Compact"/>
              <w:jc w:val="left"/>
            </w:pPr>
            <w:r>
              <w:t xml:space="preserve">3</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Delivery of a 90-minute keynote lecture and workshop for the Alexandria International Conference on Ancient Mediterranean Civilizations, including preparation of presentation materials, Q&amp;A session facilitation, and post-conference written summary.</w:t>
            </w:r>
          </w:p>
        </w:tc>
        <w:tc>
          <w:tcPr/>
          <w:p>
            <w:pPr>
              <w:pStyle w:val="Compact"/>
              <w:jc w:val="left"/>
            </w:pPr>
            <w:r>
              <w:t xml:space="preserve">May 2025</w:t>
            </w:r>
          </w:p>
        </w:tc>
        <w:tc>
          <w:tcPr/>
          <w:p>
            <w:pPr>
              <w:pStyle w:val="Compact"/>
              <w:jc w:val="left"/>
            </w:pPr>
            <w:r>
              <w:t xml:space="preserve">7,500</w:t>
            </w:r>
          </w:p>
        </w:tc>
        <w:tc>
          <w:tcPr/>
          <w:p>
            <w:pPr>
              <w:pStyle w:val="Compact"/>
              <w:jc w:val="left"/>
            </w:pPr>
            <w:r>
              <w:t xml:space="preserve">1</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Translation and academic annotation of 120 pages of primary-source documents from the Alexandria National Library archives into English, with scholarly footnotes and contextual commentary.</w:t>
            </w:r>
          </w:p>
        </w:tc>
        <w:tc>
          <w:tcPr/>
          <w:p>
            <w:pPr>
              <w:pStyle w:val="Compact"/>
              <w:jc w:val="left"/>
            </w:pPr>
            <w:r>
              <w:t xml:space="preserve">May 2025</w:t>
            </w:r>
          </w:p>
        </w:tc>
        <w:tc>
          <w:tcPr/>
          <w:p>
            <w:pPr>
              <w:pStyle w:val="Compact"/>
              <w:jc w:val="left"/>
            </w:pPr>
            <w:r>
              <w:t xml:space="preserve">450</w:t>
            </w:r>
          </w:p>
        </w:tc>
        <w:tc>
          <w:tcPr/>
          <w:p>
            <w:pPr>
              <w:pStyle w:val="Compact"/>
              <w:jc w:val="left"/>
            </w:pPr>
            <w:r>
              <w:t xml:space="preserve">120</w:t>
            </w:r>
          </w:p>
        </w:tc>
        <w:tc>
          <w:tcPr/>
          <w:p>
            <w:pPr>
              <w:pStyle w:val="Compact"/>
              <w:jc w:val="left"/>
            </w:pPr>
            <w:r>
              <w:t xml:space="preserve">54,000.00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(EGP)</w:t>
            </w:r>
          </w:p>
        </w:tc>
      </w:tr>
      <w:tr>
        <w:tc>
          <w:tcPr/>
          <w:p>
            <w:pPr>
              <w:pStyle w:val="Compact"/>
              <w:jc w:val="left"/>
            </w:pPr>
            <w:r>
              <w:t xml:space="preserve">Subtotal</w:t>
            </w:r>
          </w:p>
        </w:tc>
        <w:tc>
          <w:tcPr/>
          <w:p>
            <w:pPr>
              <w:pStyle w:val="Compact"/>
              <w:jc w:val="left"/>
            </w:pPr>
            <w:r>
              <w:t xml:space="preserve">127,000.00</w:t>
            </w:r>
          </w:p>
        </w:tc>
      </w:tr>
      <w:tr>
        <w:tc>
          <w:tcPr/>
          <w:p>
            <w:pPr>
              <w:pStyle w:val="Compact"/>
              <w:jc w:val="left"/>
            </w:pPr>
            <w:r>
              <w:t xml:space="preserve">VAT (14% — Egyptian Tax Authority)</w:t>
            </w:r>
          </w:p>
        </w:tc>
        <w:tc>
          <w:tcPr/>
          <w:p>
            <w:pPr>
              <w:pStyle w:val="Compact"/>
              <w:jc w:val="left"/>
            </w:pPr>
            <w:r>
              <w:t xml:space="preserve">17,780.00</w:t>
            </w:r>
          </w:p>
        </w:tc>
      </w:tr>
      <w:tr>
        <w:tc>
          <w:tcPr/>
          <w:p>
            <w:pPr>
              <w:pStyle w:val="Compact"/>
              <w:jc w:val="left"/>
            </w:pPr>
            <w:r>
              <w:t xml:space="preserve">Administrative &amp; Archival Handling Fee</w:t>
            </w:r>
          </w:p>
        </w:tc>
        <w:tc>
          <w:tcPr/>
          <w:p>
            <w:pPr>
              <w:pStyle w:val="Compact"/>
              <w:jc w:val="left"/>
            </w:pPr>
            <w:r>
              <w:t xml:space="preserve">2,540.00</w:t>
            </w:r>
          </w:p>
        </w:tc>
      </w:tr>
      <w:tr>
        <w:tc>
          <w:tcPr/>
          <w:p>
            <w:pPr>
              <w:pStyle w:val="Compact"/>
              <w:jc w:val="left"/>
            </w:pPr>
            <w:r>
              <w:t xml:space="preserve">Grand Total Due</w:t>
            </w:r>
          </w:p>
        </w:tc>
        <w:tc>
          <w:tcPr/>
          <w:p>
            <w:pPr>
              <w:pStyle w:val="Compact"/>
              <w:jc w:val="left"/>
            </w:pPr>
            <w:r>
              <w:t xml:space="preserve">147,320.00</w:t>
            </w:r>
          </w:p>
        </w:tc>
      </w:tr>
    </w:tbl>
    <w:bookmarkStart w:id="23" w:name="payment-terms-invoice-conditions"/>
    <w:p>
      <w:pPr>
        <w:pStyle w:val="Heading3"/>
      </w:pPr>
      <w:r>
        <w:t xml:space="preserve">Payment Terms &amp; Invoice Conditions</w:t>
      </w:r>
    </w:p>
    <w:p>
      <w:pPr>
        <w:numPr>
          <w:ilvl w:val="0"/>
          <w:numId w:val="1001"/>
        </w:numPr>
        <w:pStyle w:val="Compact"/>
      </w:pPr>
      <w:r>
        <w:t xml:space="preserve">This Invoice is payable within thirty (30) calendar days from the date of issue, i.e., no later than 15 July 2025. Payment shall be made via bank transfer to the Academic Researcher's designated account at the National Bank of Egypt, Alexandria Branch (IBAN: EG38 NBEK 0000 1099 4455 6677 8899).</w:t>
      </w:r>
    </w:p>
    <w:p>
      <w:pPr>
        <w:numPr>
          <w:ilvl w:val="0"/>
          <w:numId w:val="1001"/>
        </w:numPr>
        <w:pStyle w:val="Compact"/>
      </w:pPr>
      <w:r>
        <w:t xml:space="preserve">Failure to remit payment by the stated due date will incur a late-payment interest charge of 1.5% per month, calculated on the outstanding balance, in accordance with Egyptian commercial law and the terms specified in the governing Service Agreement.</w:t>
      </w:r>
    </w:p>
    <w:p>
      <w:pPr>
        <w:numPr>
          <w:ilvl w:val="0"/>
          <w:numId w:val="1001"/>
        </w:numPr>
        <w:pStyle w:val="Compact"/>
      </w:pPr>
      <w:r>
        <w:t xml:space="preserve">All services described in this Invoice were performed by the undersigned Academic Researcher in full compliance with the ethical standards of the Alexandria University Faculty of Arts and the regulations of the Egyptian Ministry of Higher Education and Scientific Research.</w:t>
      </w:r>
    </w:p>
    <w:p>
      <w:pPr>
        <w:numPr>
          <w:ilvl w:val="0"/>
          <w:numId w:val="1001"/>
        </w:numPr>
        <w:pStyle w:val="Compact"/>
      </w:pPr>
      <w:r>
        <w:t xml:space="preserve">Intellectual property rights for all original research outputs, including the journal article, literature review, and translated documents, shall be jointly held by the Academic Researcher and the Client as stipulated in Section 7 of Contract No. AURD-2025-012. This Invoice does not transfer any additional IP rights beyond those already agreed upon.</w:t>
      </w:r>
    </w:p>
    <w:p>
      <w:pPr>
        <w:numPr>
          <w:ilvl w:val="0"/>
          <w:numId w:val="1001"/>
        </w:numPr>
        <w:pStyle w:val="Compact"/>
      </w:pPr>
      <w:r>
        <w:t xml:space="preserve">Any disputes arising from this Invoice or the underlying services shall be resolved through the Alexandria Commercial Court in accordance with Egyptian civil and commercial procedure.</w:t>
      </w:r>
    </w:p>
    <w:p>
      <w:pPr>
        <w:numPr>
          <w:ilvl w:val="0"/>
          <w:numId w:val="1001"/>
        </w:numPr>
        <w:pStyle w:val="Compact"/>
      </w:pPr>
      <w:r>
        <w:t xml:space="preserve">This Invoice is valid for a period of ninety (90) days from the date of issue. After this period, the Client must request a re-issued Invoice reflecting any applicable tax or regulatory changes in Egypt Alexandria.</w:t>
      </w:r>
    </w:p>
    <w:bookmarkEnd w:id="23"/>
    <w:p>
      <w:pPr>
        <w:pStyle w:val="FirstParagraph"/>
      </w:pPr>
      <w:r>
        <w:rPr>
          <w:bCs/>
          <w:b/>
        </w:rPr>
        <w:t xml:space="preserve">Prepared and Issued By:</w:t>
      </w:r>
    </w:p>
    <w:p>
      <w:pPr>
        <w:pStyle w:val="BodyText"/>
      </w:pPr>
      <w:r>
        <w:t xml:space="preserve">Dr. Mahmoud El-Sayed Hassan</w:t>
      </w:r>
      <w:r>
        <w:br/>
      </w:r>
      <w:r>
        <w:t xml:space="preserve">Academic Researcher</w:t>
      </w:r>
      <w:r>
        <w:br/>
      </w:r>
      <w:r>
        <w:t xml:space="preserve">Alexandria, Egypt</w:t>
      </w:r>
    </w:p>
    <w:p>
      <w:pPr>
        <w:pStyle w:val="BodyText"/>
      </w:pPr>
      <w:r>
        <w:t xml:space="preserve">Signature &amp; Date</w:t>
      </w:r>
    </w:p>
    <w:p>
      <w:pPr>
        <w:pStyle w:val="BodyText"/>
      </w:pPr>
      <w:r>
        <w:rPr>
          <w:bCs/>
          <w:b/>
        </w:rPr>
        <w:t xml:space="preserve">Received and Approved By:</w:t>
      </w:r>
    </w:p>
    <w:p>
      <w:pPr>
        <w:pStyle w:val="BodyText"/>
      </w:pPr>
      <w:r>
        <w:t xml:space="preserve">Dr. Fatma Abdel-Rahman</w:t>
      </w:r>
      <w:r>
        <w:br/>
      </w:r>
      <w:r>
        <w:t xml:space="preserve">Vice-Rector for Research</w:t>
      </w:r>
      <w:r>
        <w:br/>
      </w:r>
      <w:r>
        <w:t xml:space="preserve">Alexandria University, Egypt Alexandria</w:t>
      </w:r>
    </w:p>
    <w:p>
      <w:pPr>
        <w:pStyle w:val="BodyText"/>
      </w:pPr>
      <w:r>
        <w:t xml:space="preserve">Signature &amp; Date</w:t>
      </w:r>
    </w:p>
    <w:p>
      <w:pPr>
        <w:pStyle w:val="BodyText"/>
      </w:pPr>
      <w:r>
        <w:rPr>
          <w:bCs/>
          <w:b/>
        </w:rPr>
        <w:t xml:space="preserve">Invoice INV-ALX-2025-0047</w:t>
      </w:r>
      <w:r>
        <w:t xml:space="preserve"> </w:t>
      </w:r>
      <w:r>
        <w:t xml:space="preserve">— Issued by Dr. Mahmoud El-Sayed Hassan, Academic Researcher, Alexandria, Egypt.</w:t>
      </w:r>
      <w:r>
        <w:br/>
      </w:r>
      <w:r>
        <w:t xml:space="preserve">This document constitutes a formal Invoice for professional academic research services rendered in Egypt Alexandria. All amounts are stated in Egyptian Pounds (EGP) and are subject to the prevailing tax regulations of the Arab Republic of Egypt.</w:t>
      </w:r>
      <w:r>
        <w:br/>
      </w:r>
      <w:r>
        <w:t xml:space="preserve">For inquiries regarding this Invoice, please contact the issuing Academic Researcher at the address and contact details provided above. Retain this Invoice for your institutional financial records and tax filing purposes.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Egypt Alexandria</dc:title>
  <dc:creator/>
  <dc:language>en</dc:language>
  <cp:keywords/>
  <dcterms:created xsi:type="dcterms:W3CDTF">2026-10-10T02:06:16Z</dcterms:created>
  <dcterms:modified xsi:type="dcterms:W3CDTF">2026-10-10T02:06:16Z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