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invoice"/>
    <w:p>
      <w:pPr>
        <w:pStyle w:val="Heading1"/>
      </w:pPr>
      <w:r>
        <w:t xml:space="preserve">INVOICE</w:t>
      </w:r>
    </w:p>
    <w:p>
      <w:pPr>
        <w:pStyle w:val="FirstParagraph"/>
      </w:pPr>
      <w:r>
        <w:t xml:space="preserve">Academic Researcher Professional Services</w:t>
      </w:r>
    </w:p>
    <w:p>
      <w:pPr>
        <w:pStyle w:val="BodyText"/>
      </w:pPr>
      <w:r>
        <w:t xml:space="preserve">Indonesia Jakarta</w:t>
      </w:r>
    </w:p>
    <w:bookmarkEnd w:id="20"/>
    <w:p>
      <w:pPr>
        <w:pStyle w:val="BodyText"/>
      </w:pPr>
      <w:r>
        <w:rPr>
          <w:bCs/>
          <w:b/>
        </w:rPr>
        <w:t xml:space="preserve">Invoice Number:</w:t>
      </w:r>
      <w:r>
        <w:t xml:space="preserve"> </w:t>
      </w:r>
      <w:r>
        <w:t xml:space="preserve">INV-JKT-2025-0047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Start w:id="21" w:name="issued-by-academic-researcher"/>
    <w:p>
      <w:pPr>
        <w:pStyle w:val="Heading3"/>
      </w:pPr>
      <w:r>
        <w:t xml:space="preserve">Issued By (Academic Researcher)</w:t>
      </w:r>
    </w:p>
    <w:p>
      <w:pPr>
        <w:pStyle w:val="FirstParagraph"/>
      </w:pPr>
      <w:r>
        <w:t xml:space="preserve">Dr. Rahmat Wijaya, Ph.D.</w:t>
      </w:r>
    </w:p>
    <w:p>
      <w:pPr>
        <w:pStyle w:val="BodyText"/>
      </w:pPr>
      <w:r>
        <w:t xml:space="preserve">Senior Academic Researcher &amp; Consultant</w:t>
      </w:r>
    </w:p>
    <w:p>
      <w:pPr>
        <w:pStyle w:val="BodyText"/>
      </w:pPr>
      <w:r>
        <w:t xml:space="preserve">Faculty of Social Sciences, Universitas Indonesia</w:t>
      </w:r>
    </w:p>
    <w:p>
      <w:pPr>
        <w:pStyle w:val="BodyText"/>
      </w:pPr>
      <w:r>
        <w:t xml:space="preserve">Jl. Salemba Raya No. 45, Menteng</w:t>
      </w:r>
    </w:p>
    <w:p>
      <w:pPr>
        <w:pStyle w:val="BodyText"/>
      </w:pPr>
      <w:r>
        <w:t xml:space="preserve">Jakarta Pusat, Indonesia Jakarta 10430</w:t>
      </w:r>
    </w:p>
    <w:p>
      <w:pPr>
        <w:pStyle w:val="BodyText"/>
      </w:pPr>
      <w:r>
        <w:t xml:space="preserve">Email: r.wijaya@ui.ac.id</w:t>
      </w:r>
    </w:p>
    <w:p>
      <w:pPr>
        <w:pStyle w:val="BodyText"/>
      </w:pPr>
      <w:r>
        <w:t xml:space="preserve">Phone: +62-21-555-0147</w:t>
      </w:r>
    </w:p>
    <w:p>
      <w:pPr>
        <w:pStyle w:val="BodyText"/>
      </w:pPr>
      <w:r>
        <w:t xml:space="preserve">NPWP: 02.345.678.9-011.000</w:t>
      </w:r>
    </w:p>
    <w:bookmarkEnd w:id="21"/>
    <w:bookmarkStart w:id="22" w:name="billed-to-client"/>
    <w:p>
      <w:pPr>
        <w:pStyle w:val="Heading3"/>
      </w:pPr>
      <w:r>
        <w:t xml:space="preserve">Billed To (Client)</w:t>
      </w:r>
    </w:p>
    <w:p>
      <w:pPr>
        <w:pStyle w:val="FirstParagraph"/>
      </w:pPr>
      <w:r>
        <w:t xml:space="preserve">PT Nusantara Research Institute</w:t>
      </w:r>
    </w:p>
    <w:p>
      <w:pPr>
        <w:pStyle w:val="BodyText"/>
      </w:pPr>
      <w:r>
        <w:t xml:space="preserve">Attn: Prof. Dr. Siti Aminah, Director</w:t>
      </w:r>
    </w:p>
    <w:p>
      <w:pPr>
        <w:pStyle w:val="BodyText"/>
      </w:pPr>
      <w:r>
        <w:t xml:space="preserve">Jl. Jend. Sudirman Kav. 52-53</w:t>
      </w:r>
    </w:p>
    <w:p>
      <w:pPr>
        <w:pStyle w:val="BodyText"/>
      </w:pPr>
      <w:r>
        <w:t xml:space="preserve">Setiabudi, South Jakarta</w:t>
      </w:r>
    </w:p>
    <w:p>
      <w:pPr>
        <w:pStyle w:val="BodyText"/>
      </w:pPr>
      <w:r>
        <w:t xml:space="preserve">Indonesia Jakarta 12190</w:t>
      </w:r>
    </w:p>
    <w:p>
      <w:pPr>
        <w:pStyle w:val="BodyText"/>
      </w:pPr>
      <w:r>
        <w:t xml:space="preserve">Email: procurement@nusantarainstitute.co.id</w:t>
      </w:r>
    </w:p>
    <w:p>
      <w:pPr>
        <w:pStyle w:val="BodyText"/>
      </w:pPr>
      <w:r>
        <w:t xml:space="preserve">Phone: +62-21-555-0892</w:t>
      </w:r>
    </w:p>
    <w:p>
      <w:pPr>
        <w:pStyle w:val="BodyText"/>
      </w:pPr>
      <w:r>
        <w:t xml:space="preserve">NPWP: 01.987.654.3-011.000</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Academic Researcher Services</w:t>
            </w:r>
          </w:p>
        </w:tc>
        <w:tc>
          <w:tcPr/>
          <w:p>
            <w:pPr>
              <w:pStyle w:val="Compact"/>
              <w:jc w:val="left"/>
            </w:pPr>
            <w:r>
              <w:t xml:space="preserve">Duration</w:t>
            </w:r>
          </w:p>
        </w:tc>
        <w:tc>
          <w:tcPr/>
          <w:p>
            <w:pPr>
              <w:pStyle w:val="Compact"/>
              <w:jc w:val="left"/>
            </w:pPr>
            <w:r>
              <w:t xml:space="preserve">Rate (IDR)</w:t>
            </w:r>
          </w:p>
        </w:tc>
        <w:tc>
          <w:tcPr/>
          <w:p>
            <w:pPr>
              <w:pStyle w:val="Compact"/>
              <w:jc w:val="left"/>
            </w:pPr>
            <w:r>
              <w:t xml:space="preserve">Amount (IDR)</w:t>
            </w:r>
          </w:p>
        </w:tc>
        <w:tc>
          <w:tcPr/>
          <w:p>
            <w:pPr>
              <w:pStyle w:val="Compact"/>
              <w:jc w:val="left"/>
            </w:pPr>
            <w:r>
              <w:t xml:space="preserve">Tax (11%)</w:t>
            </w:r>
          </w:p>
        </w:tc>
      </w:tr>
      <w:tr>
        <w:tc>
          <w:tcPr/>
          <w:p>
            <w:pPr>
              <w:pStyle w:val="Compact"/>
              <w:jc w:val="left"/>
            </w:pPr>
            <w:r>
              <w:t xml:space="preserve">01</w:t>
            </w:r>
          </w:p>
        </w:tc>
        <w:tc>
          <w:tcPr/>
          <w:p>
            <w:pPr>
              <w:pStyle w:val="Compact"/>
              <w:jc w:val="left"/>
            </w:pPr>
            <w:r>
              <w:rPr>
                <w:bCs/>
                <w:b/>
              </w:rPr>
              <w:t xml:space="preserve">Literature Review &amp; Data Analysis</w:t>
            </w:r>
          </w:p>
          <w:p>
            <w:pPr>
              <w:jc w:val="left"/>
            </w:pPr>
            <w:r>
              <w:t xml:space="preserve">Comprehensive academic research review of 200+ peer-reviewed publications on urban development in Indonesia Jakarta metropolitan area, including statistical analysis and synthesis of findings for the client's strategic planning report.</w:t>
            </w:r>
          </w:p>
        </w:tc>
        <w:tc>
          <w:tcPr/>
          <w:p>
            <w:pPr>
              <w:pStyle w:val="Compact"/>
              <w:jc w:val="left"/>
            </w:pPr>
            <w:r>
              <w:t xml:space="preserve">3 weeks</w:t>
            </w:r>
          </w:p>
        </w:tc>
        <w:tc>
          <w:tcPr/>
          <w:p>
            <w:pPr>
              <w:pStyle w:val="Compact"/>
              <w:jc w:val="left"/>
            </w:pPr>
            <w:r>
              <w:t xml:space="preserve">8,500,000</w:t>
            </w:r>
          </w:p>
        </w:tc>
        <w:tc>
          <w:tcPr/>
          <w:p>
            <w:pPr>
              <w:pStyle w:val="Compact"/>
              <w:jc w:val="left"/>
            </w:pPr>
            <w:r>
              <w:t xml:space="preserve">25,500,000</w:t>
            </w:r>
          </w:p>
        </w:tc>
        <w:tc>
          <w:tcPr/>
          <w:p>
            <w:pPr>
              <w:pStyle w:val="Compact"/>
              <w:jc w:val="left"/>
            </w:pPr>
            <w:r>
              <w:t xml:space="preserve">2,805,000</w:t>
            </w:r>
          </w:p>
        </w:tc>
      </w:tr>
      <w:tr>
        <w:tc>
          <w:tcPr/>
          <w:p>
            <w:pPr>
              <w:pStyle w:val="Compact"/>
              <w:jc w:val="left"/>
            </w:pPr>
            <w:r>
              <w:t xml:space="preserve">02</w:t>
            </w:r>
          </w:p>
        </w:tc>
        <w:tc>
          <w:tcPr/>
          <w:p>
            <w:pPr>
              <w:pStyle w:val="Compact"/>
              <w:jc w:val="left"/>
            </w:pPr>
            <w:r>
              <w:rPr>
                <w:bCs/>
                <w:b/>
              </w:rPr>
              <w:t xml:space="preserve">Field Research &amp; Survey Design</w:t>
            </w:r>
          </w:p>
          <w:p>
            <w:pPr>
              <w:jc w:val="left"/>
            </w:pPr>
            <w:r>
              <w:t xml:space="preserve">Design and execution of a mixed-methods field survey across 5 districts in Indonesia Jakarta, including questionnaire development, respondent sampling (n=1,200), data collection, and preliminary qualitative interviews with 30 key informants.</w:t>
            </w:r>
          </w:p>
        </w:tc>
        <w:tc>
          <w:tcPr/>
          <w:p>
            <w:pPr>
              <w:pStyle w:val="Compact"/>
              <w:jc w:val="left"/>
            </w:pPr>
            <w:r>
              <w:t xml:space="preserve">6 weeks</w:t>
            </w:r>
          </w:p>
        </w:tc>
        <w:tc>
          <w:tcPr/>
          <w:p>
            <w:pPr>
              <w:pStyle w:val="Compact"/>
              <w:jc w:val="left"/>
            </w:pPr>
            <w:r>
              <w:t xml:space="preserve">12,000,000</w:t>
            </w:r>
          </w:p>
        </w:tc>
        <w:tc>
          <w:tcPr/>
          <w:p>
            <w:pPr>
              <w:pStyle w:val="Compact"/>
              <w:jc w:val="left"/>
            </w:pPr>
            <w:r>
              <w:t xml:space="preserve">72,000,000</w:t>
            </w:r>
          </w:p>
        </w:tc>
        <w:tc>
          <w:tcPr/>
          <w:p>
            <w:pPr>
              <w:pStyle w:val="Compact"/>
              <w:jc w:val="left"/>
            </w:pPr>
            <w:r>
              <w:t xml:space="preserve">7,920,000</w:t>
            </w:r>
          </w:p>
        </w:tc>
      </w:tr>
      <w:tr>
        <w:tc>
          <w:tcPr/>
          <w:p>
            <w:pPr>
              <w:pStyle w:val="Compact"/>
              <w:jc w:val="left"/>
            </w:pPr>
            <w:r>
              <w:t xml:space="preserve">03</w:t>
            </w:r>
          </w:p>
        </w:tc>
        <w:tc>
          <w:tcPr/>
          <w:p>
            <w:pPr>
              <w:pStyle w:val="Compact"/>
              <w:jc w:val="left"/>
            </w:pPr>
            <w:r>
              <w:rPr>
                <w:bCs/>
                <w:b/>
              </w:rPr>
              <w:t xml:space="preserve">Academic Paper Drafting &amp; Peer Review Support</w:t>
            </w:r>
          </w:p>
          <w:p>
            <w:pPr>
              <w:jc w:val="left"/>
            </w:pPr>
            <w:r>
              <w:t xml:space="preserve">Preparation of a 15,000-word academic research manuscript suitable for submission to a Q1 international journal, including methodology refinement, results interpretation, and two rounds of internal peer review consultation.</w:t>
            </w:r>
          </w:p>
        </w:tc>
        <w:tc>
          <w:tcPr/>
          <w:p>
            <w:pPr>
              <w:pStyle w:val="Compact"/>
              <w:jc w:val="left"/>
            </w:pPr>
            <w:r>
              <w:t xml:space="preserve">4 weeks</w:t>
            </w:r>
          </w:p>
        </w:tc>
        <w:tc>
          <w:tcPr/>
          <w:p>
            <w:pPr>
              <w:pStyle w:val="Compact"/>
              <w:jc w:val="left"/>
            </w:pPr>
            <w:r>
              <w:t xml:space="preserve">15,000,000</w:t>
            </w:r>
          </w:p>
        </w:tc>
        <w:tc>
          <w:tcPr/>
          <w:p>
            <w:pPr>
              <w:pStyle w:val="Compact"/>
              <w:jc w:val="left"/>
            </w:pPr>
            <w:r>
              <w:t xml:space="preserve">60,000,000</w:t>
            </w:r>
          </w:p>
        </w:tc>
        <w:tc>
          <w:tcPr/>
          <w:p>
            <w:pPr>
              <w:pStyle w:val="Compact"/>
              <w:jc w:val="left"/>
            </w:pPr>
            <w:r>
              <w:t xml:space="preserve">6,600,000</w:t>
            </w:r>
          </w:p>
        </w:tc>
      </w:tr>
      <w:tr>
        <w:tc>
          <w:tcPr/>
          <w:p>
            <w:pPr>
              <w:pStyle w:val="Compact"/>
              <w:jc w:val="left"/>
            </w:pPr>
            <w:r>
              <w:t xml:space="preserve">04</w:t>
            </w:r>
          </w:p>
        </w:tc>
        <w:tc>
          <w:tcPr/>
          <w:p>
            <w:pPr>
              <w:pStyle w:val="Compact"/>
              <w:jc w:val="left"/>
            </w:pPr>
            <w:r>
              <w:rPr>
                <w:bCs/>
                <w:b/>
              </w:rPr>
              <w:t xml:space="preserve">Research Workshop &amp; Training Session</w:t>
            </w:r>
          </w:p>
          <w:p>
            <w:pPr>
              <w:jc w:val="left"/>
            </w:pPr>
            <w:r>
              <w:t xml:space="preserve">Full-day academic researcher training workshop for 25 client staff members on advanced research methodology, data ethics, and publication standards, conducted at the client's office in Indonesia Jakarta. Includes printed materials and post-workshop consultation.</w:t>
            </w:r>
          </w:p>
        </w:tc>
        <w:tc>
          <w:tcPr/>
          <w:p>
            <w:pPr>
              <w:pStyle w:val="Compact"/>
              <w:jc w:val="left"/>
            </w:pPr>
            <w:r>
              <w:t xml:space="preserve">1 day</w:t>
            </w:r>
          </w:p>
        </w:tc>
        <w:tc>
          <w:tcPr/>
          <w:p>
            <w:pPr>
              <w:pStyle w:val="Compact"/>
              <w:jc w:val="left"/>
            </w:pPr>
            <w:r>
              <w:t xml:space="preserve">18,000,000</w:t>
            </w:r>
          </w:p>
        </w:tc>
        <w:tc>
          <w:tcPr/>
          <w:p>
            <w:pPr>
              <w:pStyle w:val="Compact"/>
              <w:jc w:val="left"/>
            </w:pPr>
            <w:r>
              <w:t xml:space="preserve">18,000,000</w:t>
            </w:r>
          </w:p>
        </w:tc>
        <w:tc>
          <w:tcPr/>
          <w:p>
            <w:pPr>
              <w:pStyle w:val="Compact"/>
              <w:jc w:val="left"/>
            </w:pPr>
            <w:r>
              <w:t xml:space="preserve">1,980,000</w:t>
            </w:r>
          </w:p>
        </w:tc>
      </w:tr>
      <w:tr>
        <w:tc>
          <w:tcPr/>
          <w:p>
            <w:pPr>
              <w:pStyle w:val="Compact"/>
              <w:jc w:val="left"/>
            </w:pPr>
            <w:r>
              <w:t xml:space="preserve">05</w:t>
            </w:r>
          </w:p>
        </w:tc>
        <w:tc>
          <w:tcPr/>
          <w:p>
            <w:pPr>
              <w:pStyle w:val="Compact"/>
              <w:jc w:val="left"/>
            </w:pPr>
            <w:r>
              <w:rPr>
                <w:bCs/>
                <w:b/>
              </w:rPr>
              <w:t xml:space="preserve">Project Management &amp; Reporting</w:t>
            </w:r>
          </w:p>
          <w:p>
            <w:pPr>
              <w:jc w:val="left"/>
            </w:pPr>
            <w:r>
              <w:t xml:space="preserve">Ongoing project coordination, weekly progress reporting, milestone documentation, and final comprehensive research report compilation (40+ pages) delivered in both Indonesian and English for the Indonesia Jakarta regional office.</w:t>
            </w:r>
          </w:p>
        </w:tc>
        <w:tc>
          <w:tcPr/>
          <w:p>
            <w:pPr>
              <w:pStyle w:val="Compact"/>
              <w:jc w:val="left"/>
            </w:pPr>
            <w:r>
              <w:t xml:space="preserve">14 weeks</w:t>
            </w:r>
          </w:p>
        </w:tc>
        <w:tc>
          <w:tcPr/>
          <w:p>
            <w:pPr>
              <w:pStyle w:val="Compact"/>
              <w:jc w:val="left"/>
            </w:pPr>
            <w:r>
              <w:t xml:space="preserve">4,500,000</w:t>
            </w:r>
          </w:p>
        </w:tc>
        <w:tc>
          <w:tcPr/>
          <w:p>
            <w:pPr>
              <w:pStyle w:val="Compact"/>
              <w:jc w:val="left"/>
            </w:pPr>
            <w:r>
              <w:t xml:space="preserve">63,000,000</w:t>
            </w:r>
          </w:p>
        </w:tc>
        <w:tc>
          <w:tcPr/>
          <w:p>
            <w:pPr>
              <w:pStyle w:val="Compact"/>
              <w:jc w:val="left"/>
            </w:pPr>
            <w:r>
              <w:t xml:space="preserve">6,930,000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238,500,000</w:t>
            </w:r>
          </w:p>
        </w:tc>
      </w:tr>
      <w:tr>
        <w:tc>
          <w:tcPr/>
          <w:p>
            <w:pPr>
              <w:pStyle w:val="Compact"/>
              <w:jc w:val="left"/>
            </w:pPr>
            <w:r>
              <w:t xml:space="preserve">VAT / PPN (11%)</w:t>
            </w:r>
          </w:p>
        </w:tc>
        <w:tc>
          <w:tcPr/>
          <w:p>
            <w:pPr>
              <w:pStyle w:val="Compact"/>
              <w:jc w:val="left"/>
            </w:pPr>
            <w:r>
              <w:t xml:space="preserve">26,235,000</w:t>
            </w:r>
          </w:p>
        </w:tc>
      </w:tr>
      <w:tr>
        <w:tc>
          <w:tcPr/>
          <w:p>
            <w:pPr>
              <w:pStyle w:val="Compact"/>
              <w:jc w:val="left"/>
            </w:pPr>
            <w:r>
              <w:t xml:space="preserve">Withholding Tax PPh 23 (2%)</w:t>
            </w:r>
          </w:p>
        </w:tc>
        <w:tc>
          <w:tcPr/>
          <w:p>
            <w:pPr>
              <w:pStyle w:val="Compact"/>
              <w:jc w:val="left"/>
            </w:pPr>
            <w:r>
              <w:t xml:space="preserve">(4,770,000)</w:t>
            </w:r>
          </w:p>
        </w:tc>
      </w:tr>
      <w:tr>
        <w:tc>
          <w:tcPr/>
          <w:p>
            <w:pPr>
              <w:pStyle w:val="Compact"/>
              <w:jc w:val="left"/>
            </w:pPr>
            <w:r>
              <w:t xml:space="preserve">Grand Total (IDR)</w:t>
            </w:r>
          </w:p>
        </w:tc>
        <w:tc>
          <w:tcPr/>
          <w:p>
            <w:pPr>
              <w:pStyle w:val="Compact"/>
              <w:jc w:val="left"/>
            </w:pPr>
            <w:r>
              <w:t xml:space="preserve">259,965,000</w:t>
            </w:r>
          </w:p>
        </w:tc>
      </w:tr>
    </w:tbl>
    <w:bookmarkStart w:id="23" w:name="invoice-notes-payment-instructions"/>
    <w:p>
      <w:pPr>
        <w:pStyle w:val="Heading4"/>
      </w:pPr>
      <w:r>
        <w:t xml:space="preserve">Invoice Notes &amp; Payment Instructions</w:t>
      </w:r>
    </w:p>
    <w:p>
      <w:pPr>
        <w:numPr>
          <w:ilvl w:val="0"/>
          <w:numId w:val="1001"/>
        </w:numPr>
        <w:pStyle w:val="Compact"/>
      </w:pPr>
      <w:r>
        <w:t xml:space="preserve">This Invoice is issued by Dr. Rahmat Wijaya, a certified Academic Researcher registered with the Indonesian National Research Council (BRIN), for professional research services rendered to PT Nusantara Research Institute in Indonesia Jakarta.</w:t>
      </w:r>
    </w:p>
    <w:p>
      <w:pPr>
        <w:numPr>
          <w:ilvl w:val="0"/>
          <w:numId w:val="1001"/>
        </w:numPr>
        <w:pStyle w:val="Compact"/>
      </w:pPr>
      <w:r>
        <w:t xml:space="preserve">Payment shall be made via bank transfer to: Bank Mandiri, Account No. 137-00-2345678-9, a.n. Rahmat Wijaya. Please reference Invoice Number INV-JKT-2025-0047 in your transfer remarks.</w:t>
      </w:r>
    </w:p>
    <w:p>
      <w:pPr>
        <w:numPr>
          <w:ilvl w:val="0"/>
          <w:numId w:val="1001"/>
        </w:numPr>
        <w:pStyle w:val="Compact"/>
      </w:pPr>
      <w:r>
        <w:t xml:space="preserve">All academic researcher deliverables, including raw data, analysis files, and manuscript drafts, shall be transferred to the client upon full settlement of this Invoice. Intellectual property rights for the final published work shall be jointly held as per the signed Service Agreement dated 01 May 2025.</w:t>
      </w:r>
    </w:p>
    <w:p>
      <w:pPr>
        <w:numPr>
          <w:ilvl w:val="0"/>
          <w:numId w:val="1001"/>
        </w:numPr>
        <w:pStyle w:val="Compact"/>
      </w:pPr>
      <w:r>
        <w:t xml:space="preserve">The 11% PPN (Value Added Tax) is applied in accordance with Indonesian tax regulations for services rendered within Indonesia Jakarta. The 2% PPh 23 withholding tax has been deducted as per applicable Indonesian tax law for professional service fees.</w:t>
      </w:r>
    </w:p>
    <w:p>
      <w:pPr>
        <w:numPr>
          <w:ilvl w:val="0"/>
          <w:numId w:val="1001"/>
        </w:numPr>
        <w:pStyle w:val="Compact"/>
      </w:pPr>
      <w:r>
        <w:t xml:space="preserve">Any dispute regarding this Invoice must be raised in writing within 10 business days of the Invoice date. Unpaid amounts past the due date shall accrue a late payment interest of 1.5% per month as stipulated in the master service agreement.</w:t>
      </w:r>
    </w:p>
    <w:p>
      <w:pPr>
        <w:numPr>
          <w:ilvl w:val="0"/>
          <w:numId w:val="1001"/>
        </w:numPr>
        <w:pStyle w:val="Compact"/>
      </w:pPr>
      <w:r>
        <w:t xml:space="preserve">This Invoice is valid for 30 days from the date of issue. The Academic Researcher reserves the right to suspend ongoing services if payment is not received by the stated due date of 30 June 2025.</w:t>
      </w:r>
    </w:p>
    <w:bookmarkEnd w:id="23"/>
    <w:p>
      <w:pPr>
        <w:pStyle w:val="FirstParagraph"/>
      </w:pPr>
      <w:r>
        <w:rPr>
          <w:bCs/>
          <w:b/>
        </w:rPr>
        <w:t xml:space="preserve">Dr. Rahmat Wijaya, Ph.D.</w:t>
      </w:r>
      <w:r>
        <w:t xml:space="preserve"> </w:t>
      </w:r>
      <w:r>
        <w:t xml:space="preserve">— Academic Researcher, Universitas Indonesia, Indonesia Jakarta</w:t>
      </w:r>
    </w:p>
    <w:p>
      <w:pPr>
        <w:pStyle w:val="BodyText"/>
      </w:pPr>
      <w:r>
        <w:t xml:space="preserve">This Invoice was generated electronically and is valid without a physical signature. For verification, contact the issuing office at +62-21-555-0147.</w:t>
      </w:r>
    </w:p>
    <w:p>
      <w:pPr>
        <w:pStyle w:val="BodyText"/>
      </w:pPr>
      <w:r>
        <w:t xml:space="preserve">© 2025 Dr. Rahmat Wijaya Research Practice. All rights reserved. | Indonesia Jakarta, Indonesia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Indonesia Jakarta</dc:title>
  <dc:creator/>
  <dc:language>en</dc:language>
  <cp:keywords/>
  <dcterms:created xsi:type="dcterms:W3CDTF">2026-10-10T04:26:39Z</dcterms:created>
  <dcterms:modified xsi:type="dcterms:W3CDTF">2026-10-10T04:26:39Z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