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Invoice</w:t>
      </w:r>
    </w:p>
    <w:p>
      <w:pPr>
        <w:pStyle w:val="BodyText"/>
      </w:pPr>
      <w:r>
        <w:t xml:space="preserve">Academic Researcher Professional Services</w:t>
      </w:r>
    </w:p>
    <w:p>
      <w:pPr>
        <w:pStyle w:val="BodyText"/>
      </w:pPr>
      <w:r>
        <w:rPr>
          <w:bCs/>
          <w:b/>
        </w:rPr>
        <w:t xml:space="preserve">Invoice Number:</w:t>
      </w:r>
      <w:r>
        <w:t xml:space="preserve"> </w:t>
      </w:r>
      <w:r>
        <w:t xml:space="preserve">INV-2025-TLV-0847</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Israeli New Shekel (ILS / ₪)</w:t>
      </w:r>
      <w:r>
        <w:br/>
      </w:r>
      <w:r>
        <w:rPr>
          <w:bCs/>
          <w:b/>
        </w:rPr>
        <w:t xml:space="preserve">VAT Registration:</w:t>
      </w:r>
      <w:r>
        <w:t xml:space="preserve"> </w:t>
      </w:r>
      <w:r>
        <w:t xml:space="preserve">51-204-887-33</w:t>
      </w:r>
    </w:p>
    <w:bookmarkStart w:id="20" w:name="issued-by-service-provider"/>
    <w:p>
      <w:pPr>
        <w:pStyle w:val="Heading3"/>
      </w:pPr>
      <w:r>
        <w:t xml:space="preserve">Issued By (Service Provider)</w:t>
      </w:r>
    </w:p>
    <w:p>
      <w:pPr>
        <w:pStyle w:val="FirstParagraph"/>
      </w:pPr>
      <w:r>
        <w:rPr>
          <w:bCs/>
          <w:b/>
        </w:rPr>
        <w:t xml:space="preserve">Dr. Miriam Levi, Ph.D.</w:t>
      </w:r>
      <w:r>
        <w:br/>
      </w:r>
      <w:r>
        <w:t xml:space="preserve">Academic Researcher &amp; Independent Scholar</w:t>
      </w:r>
      <w:r>
        <w:br/>
      </w:r>
      <w:r>
        <w:t xml:space="preserve">Department of Cognitive Sciences</w:t>
      </w:r>
      <w:r>
        <w:br/>
      </w:r>
      <w:r>
        <w:t xml:space="preserve">Tel Aviv University – Affiliated Researcher</w:t>
      </w:r>
      <w:r>
        <w:br/>
      </w:r>
      <w:r>
        <w:t xml:space="preserve">12 HaYarkon Street, Office 412</w:t>
      </w:r>
      <w:r>
        <w:br/>
      </w:r>
      <w:r>
        <w:t xml:space="preserve">Tel Aviv, 6997801, Israel</w:t>
      </w:r>
      <w:r>
        <w:br/>
      </w:r>
      <w:r>
        <w:t xml:space="preserve">Email: m.levi.research@tauv.ac.il</w:t>
      </w:r>
      <w:r>
        <w:br/>
      </w:r>
      <w:r>
        <w:t xml:space="preserve">Phone: +972-3-640-7788</w:t>
      </w:r>
      <w:r>
        <w:br/>
      </w:r>
      <w:r>
        <w:t xml:space="preserve">VAT ID: 51-204-887-33</w:t>
      </w:r>
    </w:p>
    <w:bookmarkEnd w:id="20"/>
    <w:bookmarkStart w:id="21" w:name="billed-to-client"/>
    <w:p>
      <w:pPr>
        <w:pStyle w:val="Heading3"/>
      </w:pPr>
      <w:r>
        <w:t xml:space="preserve">Billed To (Client)</w:t>
      </w:r>
    </w:p>
    <w:p>
      <w:pPr>
        <w:pStyle w:val="FirstParagraph"/>
      </w:pPr>
      <w:r>
        <w:rPr>
          <w:bCs/>
          <w:b/>
        </w:rPr>
        <w:t xml:space="preserve">Prof. David Rosen, Ph.D.</w:t>
      </w:r>
      <w:r>
        <w:br/>
      </w:r>
      <w:r>
        <w:t xml:space="preserve">Director, Center for Interdisciplinary Studies</w:t>
      </w:r>
      <w:r>
        <w:br/>
      </w:r>
      <w:r>
        <w:t xml:space="preserve">Tel Aviv University</w:t>
      </w:r>
      <w:r>
        <w:br/>
      </w:r>
      <w:r>
        <w:t xml:space="preserve">69 HaShalom Street</w:t>
      </w:r>
      <w:r>
        <w:br/>
      </w:r>
      <w:r>
        <w:t xml:space="preserve">Tel Aviv, 6997801, Israel</w:t>
      </w:r>
      <w:r>
        <w:br/>
      </w:r>
      <w:r>
        <w:t xml:space="preserve">Email: d.rosen@tau.ac.il</w:t>
      </w:r>
      <w:r>
        <w:br/>
      </w:r>
      <w:r>
        <w:t xml:space="preserve">Phone: +972-3-640-5521</w:t>
      </w:r>
      <w:r>
        <w:br/>
      </w:r>
      <w:r>
        <w:t xml:space="preserve">Client Reference: CTS-2025-0312</w:t>
      </w:r>
    </w:p>
    <w:bookmarkEnd w:id="21"/>
    <w:p>
      <w:pPr>
        <w:pStyle w:val="BodyText"/>
      </w:pPr>
      <w:r>
        <w:t xml:space="preserve">Description of Services Rendered</w:t>
      </w:r>
    </w:p>
    <w:p>
      <w:pPr>
        <w:pStyle w:val="BodyText"/>
      </w:pPr>
      <w:r>
        <w:t xml:space="preserve">This</w:t>
      </w:r>
      <w:r>
        <w:t xml:space="preserve"> </w:t>
      </w:r>
      <w:r>
        <w:t xml:space="preserve">Invoice</w:t>
      </w:r>
      <w:r>
        <w:t xml:space="preserve"> </w:t>
      </w:r>
      <w:r>
        <w:t xml:space="preserve">is issued by the undersigned</w:t>
      </w:r>
      <w:r>
        <w:t xml:space="preserve"> </w:t>
      </w:r>
      <w:r>
        <w:t xml:space="preserve">Academic Researcher</w:t>
      </w:r>
      <w:r>
        <w:t xml:space="preserve"> </w:t>
      </w:r>
      <w:r>
        <w:t xml:space="preserve">in Tel Aviv, Israel, in accordance with the terms of the Research Collaboration Agreement (Contract No. RCA-2025-019) executed on 1 February 2025. The services described below were performed as an independent</w:t>
      </w:r>
      <w:r>
        <w:t xml:space="preserve"> </w:t>
      </w:r>
      <w:r>
        <w:t xml:space="preserve">Academic Researcher</w:t>
      </w:r>
      <w:r>
        <w:t xml:space="preserve"> </w:t>
      </w:r>
      <w:r>
        <w:t xml:space="preserve">operating within the jurisdiction of Tel Aviv, Israel, and are subject to the tax and regulatory framework of the State of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Design and execution of a longitudinal cognitive-behavioral study involving 240 participants across three sites in Tel Aviv. Includes literature review, IRB ethics approval coordination, and data collection protocols.</w:t>
            </w:r>
          </w:p>
        </w:tc>
        <w:tc>
          <w:tcPr/>
          <w:p>
            <w:pPr>
              <w:pStyle w:val="Compact"/>
              <w:jc w:val="left"/>
            </w:pPr>
            <w:r>
              <w:t xml:space="preserve">Jan – Mar 2025</w:t>
            </w:r>
          </w:p>
        </w:tc>
        <w:tc>
          <w:tcPr/>
          <w:p>
            <w:pPr>
              <w:pStyle w:val="Compact"/>
              <w:jc w:val="left"/>
            </w:pPr>
            <w:r>
              <w:t xml:space="preserve">180</w:t>
            </w:r>
          </w:p>
        </w:tc>
        <w:tc>
          <w:tcPr/>
          <w:p>
            <w:pPr>
              <w:pStyle w:val="Compact"/>
              <w:jc w:val="left"/>
            </w:pPr>
            <w:r>
              <w:t xml:space="preserve">₪ 420</w:t>
            </w:r>
          </w:p>
        </w:tc>
        <w:tc>
          <w:tcPr/>
          <w:p>
            <w:pPr>
              <w:pStyle w:val="Compact"/>
              <w:jc w:val="left"/>
            </w:pPr>
            <w:r>
              <w:t xml:space="preserve">₪ 75,600.00</w:t>
            </w:r>
          </w:p>
        </w:tc>
      </w:tr>
      <w:tr>
        <w:tc>
          <w:tcPr/>
          <w:p>
            <w:pPr>
              <w:pStyle w:val="Compact"/>
              <w:jc w:val="left"/>
            </w:pPr>
            <w:r>
              <w:t xml:space="preserve">2</w:t>
            </w:r>
          </w:p>
        </w:tc>
        <w:tc>
          <w:tcPr/>
          <w:p>
            <w:pPr>
              <w:pStyle w:val="Compact"/>
              <w:jc w:val="left"/>
            </w:pPr>
            <w:r>
              <w:t xml:space="preserve">Statistical analysis and computational modeling of collected datasets using R, Python, and SPSS. Includes multivariate regression, structural equation modeling, and reproducibility documentation.</w:t>
            </w:r>
          </w:p>
        </w:tc>
        <w:tc>
          <w:tcPr/>
          <w:p>
            <w:pPr>
              <w:pStyle w:val="Compact"/>
              <w:jc w:val="left"/>
            </w:pPr>
            <w:r>
              <w:t xml:space="preserve">Apr 2025</w:t>
            </w:r>
          </w:p>
        </w:tc>
        <w:tc>
          <w:tcPr/>
          <w:p>
            <w:pPr>
              <w:pStyle w:val="Compact"/>
              <w:jc w:val="left"/>
            </w:pPr>
            <w:r>
              <w:t xml:space="preserve">96</w:t>
            </w:r>
          </w:p>
        </w:tc>
        <w:tc>
          <w:tcPr/>
          <w:p>
            <w:pPr>
              <w:pStyle w:val="Compact"/>
              <w:jc w:val="left"/>
            </w:pPr>
            <w:r>
              <w:t xml:space="preserve">₪ 450</w:t>
            </w:r>
          </w:p>
        </w:tc>
        <w:tc>
          <w:tcPr/>
          <w:p>
            <w:pPr>
              <w:pStyle w:val="Compact"/>
              <w:jc w:val="left"/>
            </w:pPr>
            <w:r>
              <w:t xml:space="preserve">₪ 43,200.00</w:t>
            </w:r>
          </w:p>
        </w:tc>
      </w:tr>
      <w:tr>
        <w:tc>
          <w:tcPr/>
          <w:p>
            <w:pPr>
              <w:pStyle w:val="Compact"/>
              <w:jc w:val="left"/>
            </w:pPr>
            <w:r>
              <w:t xml:space="preserve">3</w:t>
            </w:r>
          </w:p>
        </w:tc>
        <w:tc>
          <w:tcPr/>
          <w:p>
            <w:pPr>
              <w:pStyle w:val="Compact"/>
              <w:jc w:val="left"/>
            </w:pPr>
            <w:r>
              <w:t xml:space="preserve">Drafting and peer-review preparation of a manuscript for submission to the</w:t>
            </w:r>
            <w:r>
              <w:t xml:space="preserve"> </w:t>
            </w:r>
            <w:r>
              <w:rPr>
                <w:iCs/>
                <w:i/>
              </w:rPr>
              <w:t xml:space="preserve">Journal of Cognitive Neuroscience</w:t>
            </w:r>
            <w:r>
              <w:t xml:space="preserve">. Includes revision cycles, figure creation, and supplementary material compilation.</w:t>
            </w:r>
          </w:p>
        </w:tc>
        <w:tc>
          <w:tcPr/>
          <w:p>
            <w:pPr>
              <w:pStyle w:val="Compact"/>
              <w:jc w:val="left"/>
            </w:pPr>
            <w:r>
              <w:t xml:space="preserve">May 2025</w:t>
            </w:r>
          </w:p>
        </w:tc>
        <w:tc>
          <w:tcPr/>
          <w:p>
            <w:pPr>
              <w:pStyle w:val="Compact"/>
              <w:jc w:val="left"/>
            </w:pPr>
            <w:r>
              <w:t xml:space="preserve">64</w:t>
            </w:r>
          </w:p>
        </w:tc>
        <w:tc>
          <w:tcPr/>
          <w:p>
            <w:pPr>
              <w:pStyle w:val="Compact"/>
              <w:jc w:val="left"/>
            </w:pPr>
            <w:r>
              <w:t xml:space="preserve">₪ 480</w:t>
            </w:r>
          </w:p>
        </w:tc>
        <w:tc>
          <w:tcPr/>
          <w:p>
            <w:pPr>
              <w:pStyle w:val="Compact"/>
              <w:jc w:val="left"/>
            </w:pPr>
            <w:r>
              <w:t xml:space="preserve">₪ 30,720.00</w:t>
            </w:r>
          </w:p>
        </w:tc>
      </w:tr>
      <w:tr>
        <w:tc>
          <w:tcPr/>
          <w:p>
            <w:pPr>
              <w:pStyle w:val="Compact"/>
              <w:jc w:val="left"/>
            </w:pPr>
            <w:r>
              <w:t xml:space="preserve">4</w:t>
            </w:r>
          </w:p>
        </w:tc>
        <w:tc>
          <w:tcPr/>
          <w:p>
            <w:pPr>
              <w:pStyle w:val="Compact"/>
              <w:jc w:val="left"/>
            </w:pPr>
            <w:r>
              <w:t xml:space="preserve">Delivery of a keynote presentation at the 12th Annual Tel Aviv Interdisciplinary Research Symposium, including preparation of slides, Q&amp;A session facilitation, and post-conference written summary.</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 500</w:t>
            </w:r>
          </w:p>
        </w:tc>
        <w:tc>
          <w:tcPr/>
          <w:p>
            <w:pPr>
              <w:pStyle w:val="Compact"/>
              <w:jc w:val="left"/>
            </w:pPr>
            <w:r>
              <w:t xml:space="preserve">₪ 10,000.00</w:t>
            </w:r>
          </w:p>
        </w:tc>
      </w:tr>
      <w:tr>
        <w:tc>
          <w:tcPr/>
          <w:p>
            <w:pPr>
              <w:pStyle w:val="Compact"/>
              <w:jc w:val="left"/>
            </w:pPr>
            <w:r>
              <w:t xml:space="preserve">5</w:t>
            </w:r>
          </w:p>
        </w:tc>
        <w:tc>
          <w:tcPr/>
          <w:p>
            <w:pPr>
              <w:pStyle w:val="Compact"/>
              <w:jc w:val="left"/>
            </w:pPr>
            <w:r>
              <w:t xml:space="preserve">Supervision and mentoring of two graduate students (M.Sc. level) in research methodology, data ethics, and academic writing standards as part of the Center's internal training program.</w:t>
            </w:r>
          </w:p>
        </w:tc>
        <w:tc>
          <w:tcPr/>
          <w:p>
            <w:pPr>
              <w:pStyle w:val="Compact"/>
              <w:jc w:val="left"/>
            </w:pPr>
            <w:r>
              <w:t xml:space="preserve">Feb – Jun 2025</w:t>
            </w:r>
          </w:p>
        </w:tc>
        <w:tc>
          <w:tcPr/>
          <w:p>
            <w:pPr>
              <w:pStyle w:val="Compact"/>
              <w:jc w:val="left"/>
            </w:pPr>
            <w:r>
              <w:t xml:space="preserve">48</w:t>
            </w:r>
          </w:p>
        </w:tc>
        <w:tc>
          <w:tcPr/>
          <w:p>
            <w:pPr>
              <w:pStyle w:val="Compact"/>
              <w:jc w:val="left"/>
            </w:pPr>
            <w:r>
              <w:t xml:space="preserve">₪ 380</w:t>
            </w:r>
          </w:p>
        </w:tc>
        <w:tc>
          <w:tcPr/>
          <w:p>
            <w:pPr>
              <w:pStyle w:val="Compact"/>
              <w:jc w:val="left"/>
            </w:pPr>
            <w:r>
              <w:t xml:space="preserve">₪ 18,240.00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 177,760.00</w:t>
            </w:r>
          </w:p>
        </w:tc>
      </w:tr>
      <w:tr>
        <w:tc>
          <w:tcPr/>
          <w:p>
            <w:pPr>
              <w:pStyle w:val="Compact"/>
              <w:jc w:val="left"/>
            </w:pPr>
            <w:r>
              <w:t xml:space="preserve">VAT @ 18% (Israel Standard Rate)</w:t>
            </w:r>
          </w:p>
        </w:tc>
        <w:tc>
          <w:tcPr/>
          <w:p>
            <w:pPr>
              <w:pStyle w:val="Compact"/>
              <w:jc w:val="right"/>
            </w:pPr>
            <w:r>
              <w:t xml:space="preserve">₪ 31,996.80</w:t>
            </w:r>
          </w:p>
        </w:tc>
      </w:tr>
      <w:tr>
        <w:tc>
          <w:tcPr/>
          <w:p>
            <w:pPr>
              <w:pStyle w:val="Compact"/>
              <w:jc w:val="left"/>
            </w:pPr>
            <w:r>
              <w:t xml:space="preserve">Grand Total Due</w:t>
            </w:r>
          </w:p>
        </w:tc>
        <w:tc>
          <w:tcPr/>
          <w:p>
            <w:pPr>
              <w:pStyle w:val="Compact"/>
              <w:jc w:val="right"/>
            </w:pPr>
            <w:r>
              <w:t xml:space="preserve">₪ 209,756.80</w:t>
            </w:r>
          </w:p>
        </w:tc>
      </w:tr>
    </w:tbl>
    <w:p>
      <w:pPr>
        <w:pStyle w:val="BodyText"/>
      </w:pPr>
      <w:r>
        <w:t xml:space="preserve">Payment Instructions</w:t>
      </w:r>
    </w:p>
    <w:p>
      <w:pPr>
        <w:pStyle w:val="BodyText"/>
      </w:pPr>
      <w:r>
        <w:t xml:space="preserve">Payment for this</w:t>
      </w:r>
      <w:r>
        <w:t xml:space="preserve"> </w:t>
      </w:r>
      <w:r>
        <w:t xml:space="preserve">Invoice</w:t>
      </w:r>
      <w:r>
        <w:t xml:space="preserve"> </w:t>
      </w:r>
      <w:r>
        <w:t xml:space="preserve">is due within thirty (30) calendar days from the date of issue, as stipulated in the governing agreement. The</w:t>
      </w:r>
      <w:r>
        <w:t xml:space="preserve"> </w:t>
      </w:r>
      <w:r>
        <w:t xml:space="preserve">Academic Researcher</w:t>
      </w:r>
      <w:r>
        <w:t xml:space="preserve"> </w:t>
      </w:r>
      <w:r>
        <w:t xml:space="preserve">accepts payment via bank transfer to the following account registered in Tel Aviv, Israel:</w:t>
      </w:r>
    </w:p>
    <w:p>
      <w:pPr>
        <w:pStyle w:val="BodyText"/>
      </w:pPr>
      <w:r>
        <w:rPr>
          <w:bCs/>
          <w:b/>
        </w:rPr>
        <w:t xml:space="preserve">Bank:</w:t>
      </w:r>
      <w:r>
        <w:t xml:space="preserve"> </w:t>
      </w:r>
      <w:r>
        <w:t xml:space="preserve">Bank Leumi, Tel Aviv Branch</w:t>
      </w:r>
      <w:r>
        <w:br/>
      </w:r>
      <w:r>
        <w:rPr>
          <w:bCs/>
          <w:b/>
        </w:rPr>
        <w:t xml:space="preserve">Account Name:</w:t>
      </w:r>
      <w:r>
        <w:t xml:space="preserve"> </w:t>
      </w:r>
      <w:r>
        <w:t xml:space="preserve">Miriam Levi – Academic Research Services</w:t>
      </w:r>
      <w:r>
        <w:br/>
      </w:r>
      <w:r>
        <w:rPr>
          <w:bCs/>
          <w:b/>
        </w:rPr>
        <w:t xml:space="preserve">Account Number (IBAN):</w:t>
      </w:r>
      <w:r>
        <w:t xml:space="preserve"> </w:t>
      </w:r>
      <w:r>
        <w:t xml:space="preserve">IL16 0121 2000 0000 4567 890</w:t>
      </w:r>
      <w:r>
        <w:br/>
      </w:r>
      <w:r>
        <w:rPr>
          <w:bCs/>
          <w:b/>
        </w:rPr>
        <w:t xml:space="preserve">SWIFT / BIC:</w:t>
      </w:r>
      <w:r>
        <w:t xml:space="preserve"> </w:t>
      </w:r>
      <w:r>
        <w:t xml:space="preserve">LUMIILTT</w:t>
      </w:r>
      <w:r>
        <w:br/>
      </w:r>
      <w:r>
        <w:rPr>
          <w:bCs/>
          <w:b/>
        </w:rPr>
        <w:t xml:space="preserve">Reference:</w:t>
      </w:r>
      <w:r>
        <w:t xml:space="preserve"> </w:t>
      </w:r>
      <w:r>
        <w:t xml:space="preserve">INV-2025-TLV-0847</w:t>
      </w:r>
    </w:p>
    <w:p>
      <w:pPr>
        <w:pStyle w:val="BodyText"/>
      </w:pPr>
      <w:r>
        <w:t xml:space="preserve">Late payments shall accrue interest at the rate of 1.5% per month (or the maximum rate permitted under Israeli law, whichever is lower) in accordance with the Israeli Late Payment Law, 5761-2001.</w:t>
      </w:r>
    </w:p>
    <w:p>
      <w:pPr>
        <w:pStyle w:val="BodyText"/>
      </w:pPr>
      <w:r>
        <w:t xml:space="preserve">Terms, Conditions &amp; Legal Notes</w:t>
      </w:r>
    </w:p>
    <w:bookmarkStart w:id="22" w:name="governing-law-and-jurisdiction"/>
    <w:p>
      <w:pPr>
        <w:pStyle w:val="Heading4"/>
      </w:pPr>
      <w:r>
        <w:t xml:space="preserve">1. Governing Law and Jurisdiction</w:t>
      </w:r>
    </w:p>
    <w:p>
      <w:pPr>
        <w:pStyle w:val="FirstParagraph"/>
      </w:pPr>
      <w:r>
        <w:t xml:space="preserve">This</w:t>
      </w:r>
      <w:r>
        <w:t xml:space="preserve"> </w:t>
      </w:r>
      <w:r>
        <w:t xml:space="preserve">Invoice</w:t>
      </w:r>
      <w:r>
        <w:t xml:space="preserve"> </w:t>
      </w:r>
      <w:r>
        <w:t xml:space="preserve">and all associated services are governed by the laws of the State of Israel. Any disputes arising from this</w:t>
      </w:r>
      <w:r>
        <w:t xml:space="preserve"> </w:t>
      </w:r>
      <w:r>
        <w:t xml:space="preserve">Invoice</w:t>
      </w:r>
      <w:r>
        <w:t xml:space="preserve"> </w:t>
      </w:r>
      <w:r>
        <w:t xml:space="preserve">shall be subject to the exclusive jurisdiction of the competent courts in Tel Aviv, Israel. The</w:t>
      </w:r>
      <w:r>
        <w:t xml:space="preserve"> </w:t>
      </w:r>
      <w:r>
        <w:t xml:space="preserve">Academic Researcher</w:t>
      </w:r>
      <w:r>
        <w:t xml:space="preserve"> </w:t>
      </w:r>
      <w:r>
        <w:t xml:space="preserve">operates as a self-employed individual registered with the Israel Tax Authority (Mis Yisrael) and is subject to all applicable Israeli tax obligations, including Value Added Tax (VAT) at the standard rate of 18%.</w:t>
      </w:r>
    </w:p>
    <w:bookmarkEnd w:id="22"/>
    <w:bookmarkStart w:id="23" w:name="intellectual-property"/>
    <w:p>
      <w:pPr>
        <w:pStyle w:val="Heading4"/>
      </w:pPr>
      <w:r>
        <w:t xml:space="preserve">2. Intellectual Property</w:t>
      </w:r>
    </w:p>
    <w:p>
      <w:pPr>
        <w:pStyle w:val="FirstParagraph"/>
      </w:pPr>
      <w:r>
        <w:t xml:space="preserve">All research outputs, data sets, manuscripts, and analytical models produced by the</w:t>
      </w:r>
      <w:r>
        <w:t xml:space="preserve"> </w:t>
      </w:r>
      <w:r>
        <w:t xml:space="preserve">Academic Researcher</w:t>
      </w:r>
      <w:r>
        <w:t xml:space="preserve"> </w:t>
      </w:r>
      <w:r>
        <w:t xml:space="preserve">in Tel Aviv under this engagement shall be jointly owned by the</w:t>
      </w:r>
      <w:r>
        <w:t xml:space="preserve"> </w:t>
      </w:r>
      <w:r>
        <w:t xml:space="preserve">Academic Researcher</w:t>
      </w:r>
      <w:r>
        <w:t xml:space="preserve"> </w:t>
      </w:r>
      <w:r>
        <w:t xml:space="preserve">and the Client, as specified in Section 7 of the Research Collaboration Agreement. Neither party may publish or distribute the research findings without the prior written consent of the other party.</w:t>
      </w:r>
    </w:p>
    <w:bookmarkEnd w:id="23"/>
    <w:bookmarkStart w:id="24" w:name="confidentiality-and-data-protection"/>
    <w:p>
      <w:pPr>
        <w:pStyle w:val="Heading4"/>
      </w:pPr>
      <w:r>
        <w:t xml:space="preserve">3. Confidentiality and Data Protection</w:t>
      </w:r>
    </w:p>
    <w:p>
      <w:pPr>
        <w:pStyle w:val="FirstParagraph"/>
      </w:pPr>
      <w:r>
        <w:t xml:space="preserve">The</w:t>
      </w:r>
      <w:r>
        <w:t xml:space="preserve"> </w:t>
      </w:r>
      <w:r>
        <w:t xml:space="preserve">Academic Researcher</w:t>
      </w:r>
      <w:r>
        <w:t xml:space="preserve"> </w:t>
      </w:r>
      <w:r>
        <w:t xml:space="preserve">shall comply with the Israeli Privacy Protection Law, 5741-1981, and all relevant regulations of the Israel Data Protection Authority. All participant data collected in Tel Aviv shall be stored on encrypted servers located within Israel and shall be destroyed no later than five (5) years after the conclusion of the study, unless otherwise required by the IRB.</w:t>
      </w:r>
    </w:p>
    <w:bookmarkEnd w:id="24"/>
    <w:bookmarkStart w:id="25" w:name="cancellation-and-refund-policy"/>
    <w:p>
      <w:pPr>
        <w:pStyle w:val="Heading4"/>
      </w:pPr>
      <w:r>
        <w:t xml:space="preserve">4. Cancellation and Refund Policy</w:t>
      </w:r>
    </w:p>
    <w:p>
      <w:pPr>
        <w:pStyle w:val="FirstParagraph"/>
      </w:pPr>
      <w:r>
        <w:t xml:space="preserve">In the event that the Client cancels the engagement prior to completion of all deliverables, the</w:t>
      </w:r>
      <w:r>
        <w:t xml:space="preserve"> </w:t>
      </w:r>
      <w:r>
        <w:t xml:space="preserve">Academic Researcher</w:t>
      </w:r>
      <w:r>
        <w:t xml:space="preserve"> </w:t>
      </w:r>
      <w:r>
        <w:t xml:space="preserve">shall be entitled to compensation for all hours worked and expenses incurred up to the date of cancellation. A written notice of cancellation must be provided at least fourteen (14) days in advance.</w:t>
      </w:r>
    </w:p>
    <w:bookmarkEnd w:id="25"/>
    <w:bookmarkStart w:id="26" w:name="tax-compliance"/>
    <w:p>
      <w:pPr>
        <w:pStyle w:val="Heading4"/>
      </w:pPr>
      <w:r>
        <w:t xml:space="preserve">5. Tax Compliance</w:t>
      </w:r>
    </w:p>
    <w:p>
      <w:pPr>
        <w:pStyle w:val="FirstParagraph"/>
      </w:pPr>
      <w:r>
        <w:t xml:space="preserve">This</w:t>
      </w:r>
      <w:r>
        <w:t xml:space="preserve"> </w:t>
      </w:r>
      <w:r>
        <w:t xml:space="preserve">Invoice</w:t>
      </w:r>
      <w:r>
        <w:t xml:space="preserve"> </w:t>
      </w:r>
      <w:r>
        <w:t xml:space="preserve">is issued in compliance with the requirements of the Israeli Value Added Tax Law, 5736-1975, and the regulations of the Israel Tax Authority. The</w:t>
      </w:r>
      <w:r>
        <w:t xml:space="preserve"> </w:t>
      </w:r>
      <w:r>
        <w:t xml:space="preserve">Academic Researcher</w:t>
      </w:r>
      <w:r>
        <w:t xml:space="preserve"> </w:t>
      </w:r>
      <w:r>
        <w:t xml:space="preserve">is registered as a VAT-liable entity in Tel Aviv, Israel, and is required to issue a VAT receipt (Kvitat VAT) upon request. The Client is advised to retain this</w:t>
      </w:r>
      <w:r>
        <w:t xml:space="preserve"> </w:t>
      </w:r>
      <w:r>
        <w:t xml:space="preserve">Invoice</w:t>
      </w:r>
      <w:r>
        <w:t xml:space="preserve"> </w:t>
      </w:r>
      <w:r>
        <w:t xml:space="preserve">for their own tax and accounting records.</w:t>
      </w:r>
    </w:p>
    <w:bookmarkEnd w:id="26"/>
    <w:bookmarkStart w:id="27" w:name="acceptance"/>
    <w:p>
      <w:pPr>
        <w:pStyle w:val="Heading4"/>
      </w:pPr>
      <w:r>
        <w:t xml:space="preserve">6. Acceptance</w:t>
      </w:r>
    </w:p>
    <w:p>
      <w:pPr>
        <w:pStyle w:val="FirstParagraph"/>
      </w:pPr>
      <w:r>
        <w:t xml:space="preserve">By signing below or by making payment against this</w:t>
      </w:r>
      <w:r>
        <w:t xml:space="preserve"> </w:t>
      </w:r>
      <w:r>
        <w:t xml:space="preserve">Invoice</w:t>
      </w:r>
      <w:r>
        <w:t xml:space="preserve">, the Client acknowledges receipt of the services rendered by the</w:t>
      </w:r>
      <w:r>
        <w:t xml:space="preserve"> </w:t>
      </w:r>
      <w:r>
        <w:t xml:space="preserve">Academic Researcher</w:t>
      </w:r>
      <w:r>
        <w:t xml:space="preserve"> </w:t>
      </w:r>
      <w:r>
        <w:t xml:space="preserve">in Tel Aviv, Israel, and confirms that all deliverables meet the specifications outlined in the Research Collaboration Agreement.</w:t>
      </w:r>
    </w:p>
    <w:bookmarkEnd w:id="27"/>
    <w:p>
      <w:pPr>
        <w:pStyle w:val="BodyText"/>
      </w:pPr>
      <w:r>
        <w:t xml:space="preserve">Signatures</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w:t>
            </w:r>
          </w:p>
          <w:p>
            <w:pPr>
              <w:jc w:val="left"/>
            </w:pPr>
            <w:r>
              <w:rPr>
                <w:bCs/>
                <w:b/>
              </w:rPr>
              <w:t xml:space="preserve">Dr. Miriam Levi, Ph.D.</w:t>
            </w:r>
            <w:r>
              <w:br/>
            </w:r>
            <w:r>
              <w:t xml:space="preserve">Academic Researcher – Service Provider</w:t>
            </w:r>
            <w:r>
              <w:br/>
            </w:r>
            <w:r>
              <w:t xml:space="preserve">Date: _______________</w:t>
            </w:r>
          </w:p>
        </w:tc>
        <w:tc>
          <w:tcPr/>
          <w:p>
            <w:pPr>
              <w:jc w:val="left"/>
            </w:pPr>
            <w:r>
              <w:t xml:space="preserve">______________________________</w:t>
            </w:r>
          </w:p>
          <w:p>
            <w:pPr>
              <w:jc w:val="left"/>
            </w:pPr>
            <w:r>
              <w:rPr>
                <w:bCs/>
                <w:b/>
              </w:rPr>
              <w:t xml:space="preserve">Prof. David Rosen, Ph.D.</w:t>
            </w:r>
            <w:r>
              <w:br/>
            </w:r>
            <w:r>
              <w:t xml:space="preserve">Client Representative – Tel Aviv University</w:t>
            </w:r>
            <w:r>
              <w:br/>
            </w:r>
            <w:r>
              <w:t xml:space="preserve">Date: _______________</w:t>
            </w:r>
          </w:p>
        </w:tc>
      </w:tr>
    </w:tbl>
    <w:p>
      <w:pPr>
        <w:pStyle w:val="BodyText"/>
      </w:pPr>
      <w:r>
        <w:t xml:space="preserve">This</w:t>
      </w:r>
      <w:r>
        <w:t xml:space="preserve"> </w:t>
      </w:r>
      <w:r>
        <w:t xml:space="preserve">Invoice</w:t>
      </w:r>
      <w:r>
        <w:t xml:space="preserve"> </w:t>
      </w:r>
      <w:r>
        <w:t xml:space="preserve">was generated and issued in Tel Aviv, Israel, by the undersigned</w:t>
      </w:r>
      <w:r>
        <w:t xml:space="preserve"> </w:t>
      </w:r>
      <w:r>
        <w:t xml:space="preserve">Academic Researcher</w:t>
      </w:r>
      <w:r>
        <w:t xml:space="preserve">.</w:t>
      </w:r>
      <w:r>
        <w:br/>
      </w:r>
      <w:r>
        <w:t xml:space="preserve">For questions regarding this</w:t>
      </w:r>
      <w:r>
        <w:t xml:space="preserve"> </w:t>
      </w:r>
      <w:r>
        <w:t xml:space="preserve">Invoice</w:t>
      </w:r>
      <w:r>
        <w:t xml:space="preserve">, please contact the</w:t>
      </w:r>
      <w:r>
        <w:t xml:space="preserve"> </w:t>
      </w:r>
      <w:r>
        <w:t xml:space="preserve">Academic Researcher</w:t>
      </w:r>
      <w:r>
        <w:t xml:space="preserve"> </w:t>
      </w:r>
      <w:r>
        <w:t xml:space="preserve">at m.levi.research@tauv.ac.il or by phone at +972-3-640-7788.</w:t>
      </w:r>
      <w:r>
        <w:br/>
      </w:r>
      <w:r>
        <w:t xml:space="preserve">This document is valid only when signed by both parties. Unauthorised reproduction or distribution is prohibited under Israeli law.</w:t>
      </w:r>
      <w:r>
        <w:br/>
      </w:r>
      <w:r>
        <w:br/>
      </w:r>
      <w:r>
        <w:t xml:space="preserve">Invoice</w:t>
      </w:r>
      <w:r>
        <w:t xml:space="preserve"> </w:t>
      </w:r>
      <w:r>
        <w:t xml:space="preserve">INV-2025-TLV-0847  |  Academic Researcher Services  |  Tel Aviv, Israel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Tel Aviv, Israel</dc:title>
  <dc:creator/>
  <dc:language>en</dc:language>
  <cp:keywords/>
  <dcterms:created xsi:type="dcterms:W3CDTF">2026-10-10T04:14:33Z</dcterms:created>
  <dcterms:modified xsi:type="dcterms:W3CDTF">2026-10-10T04:14:33Z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