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invoice"/>
    <w:p>
      <w:pPr>
        <w:pStyle w:val="Heading1"/>
      </w:pPr>
      <w:r>
        <w:t xml:space="preserve">INVOICE</w:t>
      </w:r>
    </w:p>
    <w:p>
      <w:pPr>
        <w:pStyle w:val="FirstParagraph"/>
      </w:pPr>
      <w:r>
        <w:t xml:space="preserve">Professional Academic Researcher Services</w:t>
      </w:r>
    </w:p>
    <w:p>
      <w:pPr>
        <w:pStyle w:val="BodyText"/>
      </w:pPr>
      <w:r>
        <w:t xml:space="preserve">Malaysia Kuala Lumpur</w:t>
      </w:r>
    </w:p>
    <w:p>
      <w:pPr>
        <w:pStyle w:val="BodyText"/>
      </w:pPr>
      <w:r>
        <w:t xml:space="preserve">OFFICIAL INVOICE DOCUMENT</w:t>
      </w:r>
    </w:p>
    <w:bookmarkEnd w:id="20"/>
    <w:bookmarkStart w:id="21" w:name="from-service-provider"/>
    <w:p>
      <w:pPr>
        <w:pStyle w:val="Heading3"/>
      </w:pPr>
      <w:r>
        <w:t xml:space="preserve">From (Service Provider)</w:t>
      </w:r>
    </w:p>
    <w:p>
      <w:pPr>
        <w:pStyle w:val="FirstParagraph"/>
      </w:pPr>
      <w:r>
        <w:rPr>
          <w:bCs/>
          <w:b/>
        </w:rPr>
        <w:t xml:space="preserve">Dr. Aisyah binti Rahman</w:t>
      </w:r>
    </w:p>
    <w:p>
      <w:pPr>
        <w:pStyle w:val="BodyText"/>
      </w:pPr>
      <w:r>
        <w:t xml:space="preserve">Academic Researcher – Independent Consultant</w:t>
      </w:r>
    </w:p>
    <w:p>
      <w:pPr>
        <w:pStyle w:val="BodyText"/>
      </w:pPr>
      <w:r>
        <w:t xml:space="preserve">Level 12, Menara KL Research Hub</w:t>
      </w:r>
    </w:p>
    <w:p>
      <w:pPr>
        <w:pStyle w:val="BodyText"/>
      </w:pPr>
      <w:r>
        <w:t xml:space="preserve">182, Jalan Tun Razak</w:t>
      </w:r>
    </w:p>
    <w:p>
      <w:pPr>
        <w:pStyle w:val="BodyText"/>
      </w:pPr>
      <w:r>
        <w:t xml:space="preserve">50400 Kuala Lumpur, Malaysia</w:t>
      </w:r>
    </w:p>
    <w:p>
      <w:pPr>
        <w:pStyle w:val="BodyText"/>
      </w:pPr>
      <w:r>
        <w:t xml:space="preserve">Email: a.rahman@klresearch.my</w:t>
      </w:r>
    </w:p>
    <w:p>
      <w:pPr>
        <w:pStyle w:val="BodyText"/>
      </w:pPr>
      <w:r>
        <w:t xml:space="preserve">Phone: +60 3-2145 6789</w:t>
      </w:r>
    </w:p>
    <w:p>
      <w:pPr>
        <w:pStyle w:val="BodyText"/>
      </w:pPr>
      <w:r>
        <w:t xml:space="preserve">MyTax ID: 88-1234567-000-000</w:t>
      </w:r>
    </w:p>
    <w:bookmarkEnd w:id="21"/>
    <w:bookmarkStart w:id="22" w:name="to-client"/>
    <w:p>
      <w:pPr>
        <w:pStyle w:val="Heading3"/>
      </w:pPr>
      <w:r>
        <w:t xml:space="preserve">To (Client)</w:t>
      </w:r>
    </w:p>
    <w:p>
      <w:pPr>
        <w:pStyle w:val="FirstParagraph"/>
      </w:pPr>
      <w:r>
        <w:rPr>
          <w:bCs/>
          <w:b/>
        </w:rPr>
        <w:t xml:space="preserve">Prof. Tan Wei Ming</w:t>
      </w:r>
    </w:p>
    <w:p>
      <w:pPr>
        <w:pStyle w:val="BodyText"/>
      </w:pPr>
      <w:r>
        <w:t xml:space="preserve">Director, Centre for Advanced Studies</w:t>
      </w:r>
    </w:p>
    <w:p>
      <w:pPr>
        <w:pStyle w:val="BodyText"/>
      </w:pPr>
      <w:r>
        <w:t xml:space="preserve">Faculty of Science &amp; Technology</w:t>
      </w:r>
    </w:p>
    <w:p>
      <w:pPr>
        <w:pStyle w:val="BodyText"/>
      </w:pPr>
      <w:r>
        <w:t xml:space="preserve">Universiti Malaya</w:t>
      </w:r>
    </w:p>
    <w:p>
      <w:pPr>
        <w:pStyle w:val="BodyText"/>
      </w:pPr>
      <w:r>
        <w:t xml:space="preserve">50360 Kuala Lumpur, Malaysia</w:t>
      </w:r>
    </w:p>
    <w:p>
      <w:pPr>
        <w:pStyle w:val="BodyText"/>
      </w:pPr>
      <w:r>
        <w:t xml:space="preserve">Email: tan.wei@um.edu.my</w:t>
      </w:r>
    </w:p>
    <w:p>
      <w:pPr>
        <w:pStyle w:val="BodyText"/>
      </w:pPr>
      <w:r>
        <w:t xml:space="preserve">Phone: +60 3-7967 7000</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INV-KL-2025-00472</w:t>
            </w:r>
          </w:p>
        </w:tc>
      </w:tr>
      <w:tr>
        <w:tc>
          <w:tcPr/>
          <w:p>
            <w:pPr>
              <w:pStyle w:val="Compact"/>
              <w:jc w:val="left"/>
            </w:pPr>
            <w:r>
              <w:t xml:space="preserve">Invoice Date:</w:t>
            </w:r>
          </w:p>
        </w:tc>
        <w:tc>
          <w:tcPr/>
          <w:p>
            <w:pPr>
              <w:pStyle w:val="Compact"/>
              <w:jc w:val="left"/>
            </w:pPr>
            <w:r>
              <w:t xml:space="preserve">15 June 2025</w:t>
            </w:r>
          </w:p>
        </w:tc>
      </w:tr>
      <w:tr>
        <w:tc>
          <w:tcPr/>
          <w:p>
            <w:pPr>
              <w:pStyle w:val="Compact"/>
              <w:jc w:val="left"/>
            </w:pPr>
            <w:r>
              <w:t xml:space="preserve">Due Date:</w:t>
            </w:r>
          </w:p>
        </w:tc>
        <w:tc>
          <w:tcPr/>
          <w:p>
            <w:pPr>
              <w:pStyle w:val="Compact"/>
              <w:jc w:val="left"/>
            </w:pPr>
            <w:r>
              <w:t xml:space="preserve">15 July 2025 (30 days from Invoice date)</w:t>
            </w:r>
          </w:p>
        </w:tc>
      </w:tr>
      <w:tr>
        <w:tc>
          <w:tcPr/>
          <w:p>
            <w:pPr>
              <w:pStyle w:val="Compact"/>
              <w:jc w:val="left"/>
            </w:pPr>
            <w:r>
              <w:t xml:space="preserve">Project Reference:</w:t>
            </w:r>
          </w:p>
        </w:tc>
        <w:tc>
          <w:tcPr/>
          <w:p>
            <w:pPr>
              <w:pStyle w:val="Compact"/>
              <w:jc w:val="left"/>
            </w:pPr>
            <w:r>
              <w:t xml:space="preserve">PRJ-UM-2025-0891 – Sustainable Urban Development in Malaysia Kuala Lumpur</w:t>
            </w:r>
          </w:p>
        </w:tc>
      </w:tr>
      <w:tr>
        <w:tc>
          <w:tcPr/>
          <w:p>
            <w:pPr>
              <w:pStyle w:val="Compact"/>
              <w:jc w:val="left"/>
            </w:pPr>
            <w:r>
              <w:t xml:space="preserve">Payment Method:</w:t>
            </w:r>
          </w:p>
        </w:tc>
        <w:tc>
          <w:tcPr/>
          <w:p>
            <w:pPr>
              <w:pStyle w:val="Compact"/>
              <w:jc w:val="left"/>
            </w:pPr>
            <w:r>
              <w:t xml:space="preserve">Bank Transfer – Maybank (Account: 5123-4567-8901)</w:t>
            </w:r>
          </w:p>
        </w:tc>
      </w:tr>
      <w:tr>
        <w:tc>
          <w:tcPr/>
          <w:p>
            <w:pPr>
              <w:pStyle w:val="Compact"/>
              <w:jc w:val="left"/>
            </w:pPr>
            <w:r>
              <w:t xml:space="preserve">Currency:</w:t>
            </w:r>
          </w:p>
        </w:tc>
        <w:tc>
          <w:tcPr/>
          <w:p>
            <w:pPr>
              <w:pStyle w:val="Compact"/>
              <w:jc w:val="left"/>
            </w:pPr>
            <w:r>
              <w:t xml:space="preserve">Malaysian Ringgit (MYR / RM)</w:t>
            </w:r>
          </w:p>
        </w:tc>
      </w:tr>
    </w:tbl>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Academic Researcher Services</w:t>
            </w:r>
          </w:p>
        </w:tc>
        <w:tc>
          <w:tcPr/>
          <w:p>
            <w:pPr>
              <w:pStyle w:val="Compact"/>
              <w:jc w:val="left"/>
            </w:pPr>
            <w:r>
              <w:t xml:space="preserve">Duration / Qty</w:t>
            </w:r>
          </w:p>
        </w:tc>
        <w:tc>
          <w:tcPr/>
          <w:p>
            <w:pPr>
              <w:pStyle w:val="Compact"/>
              <w:jc w:val="left"/>
            </w:pPr>
            <w:r>
              <w:t xml:space="preserve">Rate (RM)</w:t>
            </w:r>
          </w:p>
        </w:tc>
        <w:tc>
          <w:tcPr/>
          <w:p>
            <w:pPr>
              <w:pStyle w:val="Compact"/>
              <w:jc w:val="left"/>
            </w:pPr>
            <w:r>
              <w:t xml:space="preserve">Amount (RM)</w:t>
            </w:r>
          </w:p>
        </w:tc>
      </w:tr>
      <w:tr>
        <w:tc>
          <w:tcPr/>
          <w:p>
            <w:pPr>
              <w:pStyle w:val="Compact"/>
              <w:jc w:val="left"/>
            </w:pPr>
            <w:r>
              <w:t xml:space="preserve">1</w:t>
            </w:r>
          </w:p>
        </w:tc>
        <w:tc>
          <w:tcPr/>
          <w:p>
            <w:pPr>
              <w:pStyle w:val="Compact"/>
              <w:jc w:val="left"/>
            </w:pPr>
            <w:r>
              <w:t xml:space="preserve">Literature Review and Systematic Analysis for the project "Sustainable Urban Development in Malaysia Kuala Lumpur." The Academic Researcher conducted a comprehensive review of 120+ peer-reviewed journals, government white papers, and international case studies relevant to urban planning in the Malaysia Kuala Lumpur metropolitan region.</w:t>
            </w:r>
          </w:p>
        </w:tc>
        <w:tc>
          <w:tcPr/>
          <w:p>
            <w:pPr>
              <w:pStyle w:val="Compact"/>
              <w:jc w:val="left"/>
            </w:pPr>
            <w:r>
              <w:t xml:space="preserve">40 hours</w:t>
            </w:r>
          </w:p>
        </w:tc>
        <w:tc>
          <w:tcPr/>
          <w:p>
            <w:pPr>
              <w:pStyle w:val="Compact"/>
              <w:jc w:val="left"/>
            </w:pPr>
            <w:r>
              <w:t xml:space="preserve">180.00</w:t>
            </w:r>
          </w:p>
        </w:tc>
        <w:tc>
          <w:tcPr/>
          <w:p>
            <w:pPr>
              <w:pStyle w:val="Compact"/>
              <w:jc w:val="left"/>
            </w:pPr>
            <w:r>
              <w:t xml:space="preserve">7,200.00</w:t>
            </w:r>
          </w:p>
        </w:tc>
      </w:tr>
      <w:tr>
        <w:tc>
          <w:tcPr/>
          <w:p>
            <w:pPr>
              <w:pStyle w:val="Compact"/>
              <w:jc w:val="left"/>
            </w:pPr>
            <w:r>
              <w:t xml:space="preserve">2</w:t>
            </w:r>
          </w:p>
        </w:tc>
        <w:tc>
          <w:tcPr/>
          <w:p>
            <w:pPr>
              <w:pStyle w:val="Compact"/>
              <w:jc w:val="left"/>
            </w:pPr>
            <w:r>
              <w:t xml:space="preserve">Quantitative Data Collection and Statistical Modelling. The Academic Researcher designed and administered structured surveys to 500 respondents across five districts in Malaysia Kuala Lumpur, performed regression analysis, and produced validated datasets for the research team.</w:t>
            </w:r>
          </w:p>
        </w:tc>
        <w:tc>
          <w:tcPr/>
          <w:p>
            <w:pPr>
              <w:pStyle w:val="Compact"/>
              <w:jc w:val="left"/>
            </w:pPr>
            <w:r>
              <w:t xml:space="preserve">60 hours</w:t>
            </w:r>
          </w:p>
        </w:tc>
        <w:tc>
          <w:tcPr/>
          <w:p>
            <w:pPr>
              <w:pStyle w:val="Compact"/>
              <w:jc w:val="left"/>
            </w:pPr>
            <w:r>
              <w:t xml:space="preserve">200.00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Qualitative Fieldwork and Ethnographic Interviews. The Academic Researcher conducted in-depth semi-structured interviews with 25 key stakeholders including municipal planners, community leaders, and industry experts in Malaysia Kuala Lumpur to capture ground-level perspectives on urban sustainability.</w:t>
            </w:r>
          </w:p>
        </w:tc>
        <w:tc>
          <w:tcPr/>
          <w:p>
            <w:pPr>
              <w:pStyle w:val="Compact"/>
              <w:jc w:val="left"/>
            </w:pPr>
            <w:r>
              <w:t xml:space="preserve">35 hours</w:t>
            </w:r>
          </w:p>
        </w:tc>
        <w:tc>
          <w:tcPr/>
          <w:p>
            <w:pPr>
              <w:pStyle w:val="Compact"/>
              <w:jc w:val="left"/>
            </w:pPr>
            <w:r>
              <w:t xml:space="preserve">220.00</w:t>
            </w:r>
          </w:p>
        </w:tc>
        <w:tc>
          <w:tcPr/>
          <w:p>
            <w:pPr>
              <w:pStyle w:val="Compact"/>
              <w:jc w:val="left"/>
            </w:pPr>
            <w:r>
              <w:t xml:space="preserve">7,700.00</w:t>
            </w:r>
          </w:p>
        </w:tc>
      </w:tr>
      <w:tr>
        <w:tc>
          <w:tcPr/>
          <w:p>
            <w:pPr>
              <w:pStyle w:val="Compact"/>
              <w:jc w:val="left"/>
            </w:pPr>
            <w:r>
              <w:t xml:space="preserve">4</w:t>
            </w:r>
          </w:p>
        </w:tc>
        <w:tc>
          <w:tcPr/>
          <w:p>
            <w:pPr>
              <w:pStyle w:val="Compact"/>
              <w:jc w:val="left"/>
            </w:pPr>
            <w:r>
              <w:t xml:space="preserve">Drafting and Editing of Research Manuscript. The Academic Researcher prepared a 25-page draft manuscript suitable for submission to a Q1 international journal, incorporating all findings, data visualisations, and policy recommendations specific to the Malaysia Kuala Lumpur context.</w:t>
            </w:r>
          </w:p>
        </w:tc>
        <w:tc>
          <w:tcPr/>
          <w:p>
            <w:pPr>
              <w:pStyle w:val="Compact"/>
              <w:jc w:val="left"/>
            </w:pPr>
            <w:r>
              <w:t xml:space="preserve">30 hours</w:t>
            </w:r>
          </w:p>
        </w:tc>
        <w:tc>
          <w:tcPr/>
          <w:p>
            <w:pPr>
              <w:pStyle w:val="Compact"/>
              <w:jc w:val="left"/>
            </w:pPr>
            <w:r>
              <w:t xml:space="preserve">250.00</w:t>
            </w:r>
          </w:p>
        </w:tc>
        <w:tc>
          <w:tcPr/>
          <w:p>
            <w:pPr>
              <w:pStyle w:val="Compact"/>
              <w:jc w:val="left"/>
            </w:pPr>
            <w:r>
              <w:t xml:space="preserve">7,500.00</w:t>
            </w:r>
          </w:p>
        </w:tc>
      </w:tr>
      <w:tr>
        <w:tc>
          <w:tcPr/>
          <w:p>
            <w:pPr>
              <w:pStyle w:val="Compact"/>
              <w:jc w:val="left"/>
            </w:pPr>
            <w:r>
              <w:t xml:space="preserve">5</w:t>
            </w:r>
          </w:p>
        </w:tc>
        <w:tc>
          <w:tcPr/>
          <w:p>
            <w:pPr>
              <w:pStyle w:val="Compact"/>
              <w:jc w:val="left"/>
            </w:pPr>
            <w:r>
              <w:t xml:space="preserve">Peer Review Coordination and Revision Support. The Academic Researcher facilitated the peer review process, addressed reviewer comments, and revised the manuscript through two full revision cycles to meet the publication standards of the target journal.</w:t>
            </w:r>
          </w:p>
        </w:tc>
        <w:tc>
          <w:tcPr/>
          <w:p>
            <w:pPr>
              <w:pStyle w:val="Compact"/>
              <w:jc w:val="left"/>
            </w:pPr>
            <w:r>
              <w:t xml:space="preserve">20 hours</w:t>
            </w:r>
          </w:p>
        </w:tc>
        <w:tc>
          <w:tcPr/>
          <w:p>
            <w:pPr>
              <w:pStyle w:val="Compact"/>
              <w:jc w:val="left"/>
            </w:pPr>
            <w:r>
              <w:t xml:space="preserve">250.00</w:t>
            </w:r>
          </w:p>
        </w:tc>
        <w:tc>
          <w:tcPr/>
          <w:p>
            <w:pPr>
              <w:pStyle w:val="Compact"/>
              <w:jc w:val="left"/>
            </w:pPr>
            <w:r>
              <w:t xml:space="preserve">5,000.00</w:t>
            </w:r>
          </w:p>
        </w:tc>
      </w:tr>
      <w:tr>
        <w:tc>
          <w:tcPr/>
          <w:p>
            <w:pPr>
              <w:pStyle w:val="Compact"/>
              <w:jc w:val="left"/>
            </w:pPr>
            <w:r>
              <w:t xml:space="preserve">6</w:t>
            </w:r>
          </w:p>
        </w:tc>
        <w:tc>
          <w:tcPr/>
          <w:p>
            <w:pPr>
              <w:pStyle w:val="Compact"/>
              <w:jc w:val="left"/>
            </w:pPr>
            <w:r>
              <w:t xml:space="preserve">Conference Presentation and Dissemination. The Academic Researcher prepared and delivered a 20-minute keynote presentation at the 2025 International Conference on Urban Studies held in Malaysia Kuala Lumpur, including the preparation of supplementary slides, a policy brief, and a public Q&amp;A session.</w:t>
            </w:r>
          </w:p>
        </w:tc>
        <w:tc>
          <w:tcPr/>
          <w:p>
            <w:pPr>
              <w:pStyle w:val="Compact"/>
              <w:jc w:val="left"/>
            </w:pPr>
            <w:r>
              <w:t xml:space="preserve">15 hours</w:t>
            </w:r>
          </w:p>
        </w:tc>
        <w:tc>
          <w:tcPr/>
          <w:p>
            <w:pPr>
              <w:pStyle w:val="Compact"/>
              <w:jc w:val="left"/>
            </w:pPr>
            <w:r>
              <w:t xml:space="preserve">300.00</w:t>
            </w:r>
          </w:p>
        </w:tc>
        <w:tc>
          <w:tcPr/>
          <w:p>
            <w:pPr>
              <w:pStyle w:val="Compact"/>
              <w:jc w:val="left"/>
            </w:pPr>
            <w:r>
              <w:t xml:space="preserve">4,500.00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RM 43,900.00</w:t>
            </w:r>
          </w:p>
        </w:tc>
      </w:tr>
      <w:tr>
        <w:tc>
          <w:tcPr/>
          <w:p>
            <w:pPr>
              <w:pStyle w:val="Compact"/>
              <w:jc w:val="left"/>
            </w:pPr>
            <w:r>
              <w:t xml:space="preserve">Sales and Service Tax (SST) @ 6%</w:t>
            </w:r>
          </w:p>
        </w:tc>
        <w:tc>
          <w:tcPr/>
          <w:p>
            <w:pPr>
              <w:pStyle w:val="Compact"/>
              <w:jc w:val="left"/>
            </w:pPr>
            <w:r>
              <w:t xml:space="preserve">RM 2,634.00</w:t>
            </w:r>
          </w:p>
        </w:tc>
      </w:tr>
      <w:tr>
        <w:tc>
          <w:tcPr/>
          <w:p>
            <w:pPr>
              <w:pStyle w:val="Compact"/>
              <w:jc w:val="left"/>
            </w:pPr>
            <w:r>
              <w:t xml:space="preserve">Travel and Fieldwork Expenses (Malaysia Kuala Lumpur)</w:t>
            </w:r>
          </w:p>
        </w:tc>
        <w:tc>
          <w:tcPr/>
          <w:p>
            <w:pPr>
              <w:pStyle w:val="Compact"/>
              <w:jc w:val="left"/>
            </w:pPr>
            <w:r>
              <w:t xml:space="preserve">RM 1,250.00</w:t>
            </w:r>
          </w:p>
        </w:tc>
      </w:tr>
      <w:tr>
        <w:tc>
          <w:tcPr/>
          <w:p>
            <w:pPr>
              <w:pStyle w:val="Compact"/>
              <w:jc w:val="left"/>
            </w:pPr>
            <w:r>
              <w:t xml:space="preserve">TOTAL AMOUNT DUE</w:t>
            </w:r>
          </w:p>
        </w:tc>
        <w:tc>
          <w:tcPr/>
          <w:p>
            <w:pPr>
              <w:pStyle w:val="Compact"/>
              <w:jc w:val="left"/>
            </w:pPr>
            <w:r>
              <w:t xml:space="preserve">RM 47,784.00</w:t>
            </w:r>
          </w:p>
        </w:tc>
      </w:tr>
    </w:tbl>
    <w:bookmarkStart w:id="23" w:name="terms-and-conditions-of-this-invoice"/>
    <w:p>
      <w:pPr>
        <w:pStyle w:val="Heading3"/>
      </w:pPr>
      <w:r>
        <w:t xml:space="preserve">Terms and Conditions of This Invoice</w:t>
      </w:r>
    </w:p>
    <w:p>
      <w:pPr>
        <w:numPr>
          <w:ilvl w:val="0"/>
          <w:numId w:val="1001"/>
        </w:numPr>
        <w:pStyle w:val="Compact"/>
      </w:pPr>
      <w:r>
        <w:t xml:space="preserve">This Invoice is issued by the undersigned Academic Researcher in accordance with the Service Agreement dated 1 March 2025 between the parties for research services rendered in Malaysia Kuala Lumpur.</w:t>
      </w:r>
    </w:p>
    <w:p>
      <w:pPr>
        <w:numPr>
          <w:ilvl w:val="0"/>
          <w:numId w:val="1001"/>
        </w:numPr>
        <w:pStyle w:val="Compact"/>
      </w:pPr>
      <w:r>
        <w:t xml:space="preserve">Payment of the full amount stated in this Invoice is due within thirty (30) calendar days from the Invoice date. Late payments shall attract a penalty interest of 2% per month as per Malaysian commercial practice.</w:t>
      </w:r>
    </w:p>
    <w:p>
      <w:pPr>
        <w:numPr>
          <w:ilvl w:val="0"/>
          <w:numId w:val="1001"/>
        </w:numPr>
        <w:pStyle w:val="Compact"/>
      </w:pPr>
      <w:r>
        <w:t xml:space="preserve">All services described in this Invoice were performed by the Academic Researcher in full compliance with the Malaysian Research Integrity Office (MRO) guidelines and the ethical standards of the Malaysian Association of Researchers.</w:t>
      </w:r>
    </w:p>
    <w:p>
      <w:pPr>
        <w:numPr>
          <w:ilvl w:val="0"/>
          <w:numId w:val="1001"/>
        </w:numPr>
        <w:pStyle w:val="Compact"/>
      </w:pPr>
      <w:r>
        <w:t xml:space="preserve">The Academic Researcher retains all intellectual property rights over methodologies, analytical frameworks, and proprietary tools developed during the engagement. The client receives a non-exclusive licence to use the final research outputs for academic and policy purposes within Malaysia Kuala Lumpur and internationally.</w:t>
      </w:r>
    </w:p>
    <w:p>
      <w:pPr>
        <w:numPr>
          <w:ilvl w:val="0"/>
          <w:numId w:val="1001"/>
        </w:numPr>
        <w:pStyle w:val="Compact"/>
      </w:pPr>
      <w:r>
        <w:t xml:space="preserve">Any disputes arising from this Invoice shall be resolved through mediation under the Malaysian Mediation Centre, Kuala Lumpur, before any litigation is commenced in the courts of Malaysia.</w:t>
      </w:r>
    </w:p>
    <w:p>
      <w:pPr>
        <w:numPr>
          <w:ilvl w:val="0"/>
          <w:numId w:val="1001"/>
        </w:numPr>
        <w:pStyle w:val="Compact"/>
      </w:pPr>
      <w:r>
        <w:t xml:space="preserve">This Invoice is valid for a period of ninety (90) days from the date of issue. After this period, the Academic Researcher reserves the right to reissue the Invoice with updated tax calculations if applicable Malaysian tax regulations have changed.</w:t>
      </w:r>
    </w:p>
    <w:p>
      <w:pPr>
        <w:numPr>
          <w:ilvl w:val="0"/>
          <w:numId w:val="1001"/>
        </w:numPr>
        <w:pStyle w:val="Compact"/>
      </w:pPr>
      <w:r>
        <w:t xml:space="preserve">All personal data processed in connection with this Invoice shall be handled in accordance with the Personal Data Protection Act 2010 (PDPA) of Malaysia.</w:t>
      </w:r>
    </w:p>
    <w:p>
      <w:pPr>
        <w:pStyle w:val="FirstParagraph"/>
      </w:pPr>
      <w:r>
        <w:rPr>
          <w:bCs/>
          <w:b/>
        </w:rPr>
        <w:t xml:space="preserve">Notes:</w:t>
      </w:r>
      <w:r>
        <w:t xml:space="preserve"> </w:t>
      </w:r>
      <w:r>
        <w:t xml:space="preserve">This Invoice confirms that all Academic Researcher services have been completed and accepted by the client as per the project milestone sign-off dated 10 June 2025. The Academic Researcher thanks the client for the opportunity to contribute to advancing sustainable urban research in Malaysia Kuala Lumpur. Please direct any queries regarding this Invoice to the contact details provided above.</w:t>
      </w:r>
    </w:p>
    <w:bookmarkEnd w:id="23"/>
    <w:p>
      <w:pPr>
        <w:pStyle w:val="BodyText"/>
      </w:pPr>
      <w:r>
        <w:rPr>
          <w:bCs/>
          <w:b/>
        </w:rPr>
        <w:t xml:space="preserve">Dr. Aisyah binti Rahman</w:t>
      </w:r>
      <w:r>
        <w:t xml:space="preserve"> </w:t>
      </w:r>
      <w:r>
        <w:t xml:space="preserve">– Academic Researcher, Malaysia Kuala Lumpur</w:t>
      </w:r>
    </w:p>
    <w:p>
      <w:pPr>
        <w:pStyle w:val="BodyText"/>
      </w:pPr>
      <w:r>
        <w:t xml:space="preserve">This Invoice was generated electronically and is valid without a physical signature.</w:t>
      </w:r>
    </w:p>
    <w:p>
      <w:pPr>
        <w:pStyle w:val="BodyText"/>
      </w:pPr>
      <w:r>
        <w:t xml:space="preserve">Document Reference: INV-KL-2025-00472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Malaysia Kuala Lumpur</dc:title>
  <dc:creator/>
  <dc:language>en</dc:language>
  <cp:keywords/>
  <dcterms:created xsi:type="dcterms:W3CDTF">2026-10-10T02:06:24Z</dcterms:created>
  <dcterms:modified xsi:type="dcterms:W3CDTF">2026-10-10T02:06:24Z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