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Academic</w:t>
      </w:r>
      <w:r>
        <w:t xml:space="preserve"> </w:t>
      </w:r>
      <w:r>
        <w:t xml:space="preserve">Researcher</w:t>
      </w:r>
      <w:r>
        <w:t xml:space="preserve"> </w:t>
      </w:r>
      <w:r>
        <w:t xml:space="preserve">Services</w:t>
      </w:r>
      <w:r>
        <w:t xml:space="preserve"> </w:t>
      </w:r>
      <w:r>
        <w:t xml:space="preserve">-</w:t>
      </w:r>
      <w:r>
        <w:t xml:space="preserve"> </w:t>
      </w:r>
      <w:r>
        <w:t xml:space="preserve">Qatar</w:t>
      </w:r>
      <w:r>
        <w:t xml:space="preserve"> </w:t>
      </w:r>
      <w:r>
        <w:t xml:space="preserve">Doha</w:t>
      </w:r>
    </w:p>
    <w:bookmarkStart w:id="20" w:name="invoice"/>
    <w:p>
      <w:pPr>
        <w:pStyle w:val="Heading1"/>
      </w:pPr>
      <w:r>
        <w:t xml:space="preserve">INVOICE</w:t>
      </w:r>
    </w:p>
    <w:p>
      <w:pPr>
        <w:pStyle w:val="FirstParagraph"/>
      </w:pPr>
      <w:r>
        <w:t xml:space="preserve">Professional Academic Research Services</w:t>
      </w:r>
    </w:p>
    <w:p>
      <w:pPr>
        <w:pStyle w:val="BodyText"/>
      </w:pPr>
      <w:r>
        <w:t xml:space="preserve">Qatar Doha — State of Qatar</w:t>
      </w:r>
    </w:p>
    <w:p>
      <w:pPr>
        <w:pStyle w:val="BodyText"/>
      </w:pPr>
      <w:r>
        <w:t xml:space="preserve">INVOICE NO: QD-AR-2025-0472</w:t>
      </w:r>
    </w:p>
    <w:bookmarkEnd w:id="20"/>
    <w:bookmarkStart w:id="21" w:name="invoice-issued-by-academic-researcher"/>
    <w:p>
      <w:pPr>
        <w:pStyle w:val="Heading3"/>
      </w:pPr>
      <w:r>
        <w:t xml:space="preserve">INVOICE ISSUED BY (Academic Researcher)</w:t>
      </w:r>
    </w:p>
    <w:p>
      <w:pPr>
        <w:pStyle w:val="FirstParagraph"/>
      </w:pPr>
      <w:r>
        <w:rPr>
          <w:bCs/>
          <w:b/>
        </w:rPr>
        <w:t xml:space="preserve">Name:</w:t>
      </w:r>
      <w:r>
        <w:t xml:space="preserve"> </w:t>
      </w:r>
      <w:r>
        <w:t xml:space="preserve">Dr. Sarah Al-Mansouri</w:t>
      </w:r>
    </w:p>
    <w:p>
      <w:pPr>
        <w:pStyle w:val="BodyText"/>
      </w:pPr>
      <w:r>
        <w:rPr>
          <w:bCs/>
          <w:b/>
        </w:rPr>
        <w:t xml:space="preserve">Title:</w:t>
      </w:r>
      <w:r>
        <w:t xml:space="preserve"> </w:t>
      </w:r>
      <w:r>
        <w:t xml:space="preserve">Senior Academic Researcher, PhD in Comparative Literature</w:t>
      </w:r>
    </w:p>
    <w:p>
      <w:pPr>
        <w:pStyle w:val="BodyText"/>
      </w:pPr>
      <w:r>
        <w:rPr>
          <w:bCs/>
          <w:b/>
        </w:rPr>
        <w:t xml:space="preserve">Affiliation:</w:t>
      </w:r>
      <w:r>
        <w:t xml:space="preserve"> </w:t>
      </w:r>
      <w:r>
        <w:t xml:space="preserve">Qatar University, College of Arts and Sciences</w:t>
      </w:r>
    </w:p>
    <w:p>
      <w:pPr>
        <w:pStyle w:val="BodyText"/>
      </w:pPr>
      <w:r>
        <w:rPr>
          <w:bCs/>
          <w:b/>
        </w:rPr>
        <w:t xml:space="preserve">Address:</w:t>
      </w:r>
      <w:r>
        <w:t xml:space="preserve"> </w:t>
      </w:r>
      <w:r>
        <w:t xml:space="preserve">P.O. Box 2713, Doha, Qatar</w:t>
      </w:r>
    </w:p>
    <w:p>
      <w:pPr>
        <w:pStyle w:val="BodyText"/>
      </w:pPr>
      <w:r>
        <w:rPr>
          <w:bCs/>
          <w:b/>
        </w:rPr>
        <w:t xml:space="preserve">Email:</w:t>
      </w:r>
      <w:r>
        <w:t xml:space="preserve"> </w:t>
      </w:r>
      <w:r>
        <w:t xml:space="preserve">s.al-mansouri@qu.edu.qa</w:t>
      </w:r>
    </w:p>
    <w:p>
      <w:pPr>
        <w:pStyle w:val="BodyText"/>
      </w:pPr>
      <w:r>
        <w:rPr>
          <w:bCs/>
          <w:b/>
        </w:rPr>
        <w:t xml:space="preserve">Phone:</w:t>
      </w:r>
      <w:r>
        <w:t xml:space="preserve"> </w:t>
      </w:r>
      <w:r>
        <w:t xml:space="preserve">+974 4411 2233</w:t>
      </w:r>
    </w:p>
    <w:p>
      <w:pPr>
        <w:pStyle w:val="BodyText"/>
      </w:pPr>
      <w:r>
        <w:rPr>
          <w:bCs/>
          <w:b/>
        </w:rPr>
        <w:t xml:space="preserve">Qatar Tax Registration No.:</w:t>
      </w:r>
      <w:r>
        <w:t xml:space="preserve"> </w:t>
      </w:r>
      <w:r>
        <w:t xml:space="preserve">QTR-7845-2291</w:t>
      </w:r>
    </w:p>
    <w:bookmarkEnd w:id="21"/>
    <w:bookmarkStart w:id="22" w:name="invoice-billed-to"/>
    <w:p>
      <w:pPr>
        <w:pStyle w:val="Heading3"/>
      </w:pPr>
      <w:r>
        <w:t xml:space="preserve">INVOICE BILLED TO</w:t>
      </w:r>
    </w:p>
    <w:p>
      <w:pPr>
        <w:pStyle w:val="FirstParagraph"/>
      </w:pPr>
      <w:r>
        <w:rPr>
          <w:bCs/>
          <w:b/>
        </w:rPr>
        <w:t xml:space="preserve">Client:</w:t>
      </w:r>
      <w:r>
        <w:t xml:space="preserve"> </w:t>
      </w:r>
      <w:r>
        <w:t xml:space="preserve">Qatar Foundation for Education, Science and Community Development</w:t>
      </w:r>
    </w:p>
    <w:p>
      <w:pPr>
        <w:pStyle w:val="BodyText"/>
      </w:pPr>
      <w:r>
        <w:rPr>
          <w:bCs/>
          <w:b/>
        </w:rPr>
        <w:t xml:space="preserve">Department:</w:t>
      </w:r>
      <w:r>
        <w:t xml:space="preserve"> </w:t>
      </w:r>
      <w:r>
        <w:t xml:space="preserve">Office of Research and Innovation</w:t>
      </w:r>
    </w:p>
    <w:p>
      <w:pPr>
        <w:pStyle w:val="BodyText"/>
      </w:pPr>
      <w:r>
        <w:rPr>
          <w:bCs/>
          <w:b/>
        </w:rPr>
        <w:t xml:space="preserve">Address:</w:t>
      </w:r>
      <w:r>
        <w:t xml:space="preserve"> </w:t>
      </w:r>
      <w:r>
        <w:t xml:space="preserve">Education City, Doha, Qatar</w:t>
      </w:r>
    </w:p>
    <w:p>
      <w:pPr>
        <w:pStyle w:val="BodyText"/>
      </w:pPr>
      <w:r>
        <w:rPr>
          <w:bCs/>
          <w:b/>
        </w:rPr>
        <w:t xml:space="preserve">Attn:</w:t>
      </w:r>
      <w:r>
        <w:t xml:space="preserve"> </w:t>
      </w:r>
      <w:r>
        <w:t xml:space="preserve">Mr. Khalid Al-Thani, Director of Research Grants</w:t>
      </w:r>
    </w:p>
    <w:p>
      <w:pPr>
        <w:pStyle w:val="BodyText"/>
      </w:pPr>
      <w:r>
        <w:rPr>
          <w:bCs/>
          <w:b/>
        </w:rPr>
        <w:t xml:space="preserve">Email:</w:t>
      </w:r>
      <w:r>
        <w:t xml:space="preserve"> </w:t>
      </w:r>
      <w:r>
        <w:t xml:space="preserve">k.al-thani@qf.org.qa</w:t>
      </w:r>
    </w:p>
    <w:p>
      <w:pPr>
        <w:pStyle w:val="BodyText"/>
      </w:pPr>
      <w:r>
        <w:rPr>
          <w:bCs/>
          <w:b/>
        </w:rPr>
        <w:t xml:space="preserve">Phone:</w:t>
      </w:r>
      <w:r>
        <w:t xml:space="preserve"> </w:t>
      </w:r>
      <w:r>
        <w:t xml:space="preserve">+974 4455 6677</w:t>
      </w:r>
    </w:p>
    <w:bookmarkEnd w:id="22"/>
    <w:bookmarkStart w:id="23" w:name="invoice-details"/>
    <w:p>
      <w:pPr>
        <w:pStyle w:val="Heading3"/>
      </w:pPr>
      <w:r>
        <w:t xml:space="preserve">INVOICE DETAILS</w:t>
      </w:r>
    </w:p>
    <w:p>
      <w:pPr>
        <w:pStyle w:val="FirstParagraph"/>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 (30 days)</w:t>
      </w:r>
    </w:p>
    <w:p>
      <w:pPr>
        <w:pStyle w:val="BodyText"/>
      </w:pPr>
      <w:r>
        <w:rPr>
          <w:bCs/>
          <w:b/>
        </w:rPr>
        <w:t xml:space="preserve">Payment Terms:</w:t>
      </w:r>
      <w:r>
        <w:t xml:space="preserve"> </w:t>
      </w:r>
      <w:r>
        <w:t xml:space="preserve">Net 30</w:t>
      </w:r>
    </w:p>
    <w:p>
      <w:pPr>
        <w:pStyle w:val="BodyText"/>
      </w:pPr>
      <w:r>
        <w:rPr>
          <w:bCs/>
          <w:b/>
        </w:rPr>
        <w:t xml:space="preserve">Currency:</w:t>
      </w:r>
      <w:r>
        <w:t xml:space="preserve"> </w:t>
      </w:r>
      <w:r>
        <w:t xml:space="preserve">Qatari Riyal (QAR)</w:t>
      </w:r>
    </w:p>
    <w:p>
      <w:pPr>
        <w:pStyle w:val="BodyText"/>
      </w:pPr>
      <w:r>
        <w:rPr>
          <w:bCs/>
          <w:b/>
        </w:rPr>
        <w:t xml:space="preserve">Project Reference:</w:t>
      </w:r>
      <w:r>
        <w:t xml:space="preserve"> </w:t>
      </w:r>
      <w:r>
        <w:t xml:space="preserve">QF-RI-2025-0089</w:t>
      </w:r>
    </w:p>
    <w:bookmarkEnd w:id="23"/>
    <w:bookmarkStart w:id="24" w:name="payment-instructions"/>
    <w:p>
      <w:pPr>
        <w:pStyle w:val="Heading3"/>
      </w:pPr>
      <w:r>
        <w:t xml:space="preserve">PAYMENT INSTRUCTIONS</w:t>
      </w:r>
    </w:p>
    <w:p>
      <w:pPr>
        <w:pStyle w:val="FirstParagraph"/>
      </w:pPr>
      <w:r>
        <w:rPr>
          <w:bCs/>
          <w:b/>
        </w:rPr>
        <w:t xml:space="preserve">Bank:</w:t>
      </w:r>
      <w:r>
        <w:t xml:space="preserve"> </w:t>
      </w:r>
      <w:r>
        <w:t xml:space="preserve">QNB (Qatar National Bank)</w:t>
      </w:r>
    </w:p>
    <w:p>
      <w:pPr>
        <w:pStyle w:val="BodyText"/>
      </w:pPr>
      <w:r>
        <w:rPr>
          <w:bCs/>
          <w:b/>
        </w:rPr>
        <w:t xml:space="preserve">Account Name:</w:t>
      </w:r>
      <w:r>
        <w:t xml:space="preserve"> </w:t>
      </w:r>
      <w:r>
        <w:t xml:space="preserve">Dr. Sarah Al-Mansouri</w:t>
      </w:r>
    </w:p>
    <w:p>
      <w:pPr>
        <w:pStyle w:val="BodyText"/>
      </w:pPr>
      <w:r>
        <w:rPr>
          <w:bCs/>
          <w:b/>
        </w:rPr>
        <w:t xml:space="preserve">Account No.:</w:t>
      </w:r>
      <w:r>
        <w:t xml:space="preserve"> </w:t>
      </w:r>
      <w:r>
        <w:t xml:space="preserve">001-4455-6677-889</w:t>
      </w:r>
    </w:p>
    <w:p>
      <w:pPr>
        <w:pStyle w:val="BodyText"/>
      </w:pPr>
      <w:r>
        <w:rPr>
          <w:bCs/>
          <w:b/>
        </w:rPr>
        <w:t xml:space="preserve">SWIFT Code:</w:t>
      </w:r>
      <w:r>
        <w:t xml:space="preserve"> </w:t>
      </w:r>
      <w:r>
        <w:t xml:space="preserve">QNBQQQQA</w:t>
      </w:r>
    </w:p>
    <w:p>
      <w:pPr>
        <w:pStyle w:val="BodyText"/>
      </w:pPr>
      <w:r>
        <w:rPr>
          <w:bCs/>
          <w:b/>
        </w:rPr>
        <w:t xml:space="preserve">Branch:</w:t>
      </w:r>
      <w:r>
        <w:t xml:space="preserve"> </w:t>
      </w:r>
      <w:r>
        <w:t xml:space="preserve">Doha Main Branch, Qatar</w:t>
      </w:r>
    </w:p>
    <w:bookmarkEnd w:id="24"/>
    <w:bookmarkStart w:id="25" w:name="Xeb0becaa9a5b8ced7ea75d3cf59f4079a928e4e"/>
    <w:p>
      <w:pPr>
        <w:pStyle w:val="Heading3"/>
      </w:pPr>
      <w:r>
        <w:t xml:space="preserve">INVOICE LINE ITEMS — Academic Researcher Services Rendered in Qatar Doha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Academic Researcher Services</w:t>
            </w:r>
          </w:p>
        </w:tc>
        <w:tc>
          <w:tcPr/>
          <w:p>
            <w:pPr>
              <w:pStyle w:val="Compact"/>
              <w:jc w:val="left"/>
            </w:pPr>
            <w:r>
              <w:t xml:space="preserve">Date of Service</w:t>
            </w:r>
          </w:p>
        </w:tc>
        <w:tc>
          <w:tcPr/>
          <w:p>
            <w:pPr>
              <w:pStyle w:val="Compact"/>
              <w:jc w:val="left"/>
            </w:pPr>
            <w:r>
              <w:t xml:space="preserve">Hours / Units</w:t>
            </w:r>
          </w:p>
        </w:tc>
        <w:tc>
          <w:tcPr/>
          <w:p>
            <w:pPr>
              <w:pStyle w:val="Compact"/>
              <w:jc w:val="left"/>
            </w:pPr>
            <w:r>
              <w:t xml:space="preserve">Rate (QAR)</w:t>
            </w:r>
          </w:p>
        </w:tc>
        <w:tc>
          <w:tcPr/>
          <w:p>
            <w:pPr>
              <w:pStyle w:val="Compact"/>
              <w:jc w:val="left"/>
            </w:pPr>
            <w:r>
              <w:t xml:space="preserve">Amount (QAR)</w:t>
            </w:r>
          </w:p>
        </w:tc>
      </w:tr>
      <w:tr>
        <w:tc>
          <w:tcPr/>
          <w:p>
            <w:pPr>
              <w:pStyle w:val="Compact"/>
              <w:jc w:val="left"/>
            </w:pPr>
            <w:r>
              <w:t xml:space="preserve">1</w:t>
            </w:r>
          </w:p>
        </w:tc>
        <w:tc>
          <w:tcPr/>
          <w:p>
            <w:pPr>
              <w:pStyle w:val="Compact"/>
              <w:jc w:val="left"/>
            </w:pPr>
            <w:r>
              <w:t xml:space="preserve">Conducting a comprehensive literature review and systematic analysis for the Qatar Doha Cultural Heritage Research Initiative, including peer-reviewed source evaluation and bibliographic compilation.</w:t>
            </w:r>
          </w:p>
        </w:tc>
        <w:tc>
          <w:tcPr/>
          <w:p>
            <w:pPr>
              <w:pStyle w:val="Compact"/>
              <w:jc w:val="left"/>
            </w:pPr>
            <w:r>
              <w:t xml:space="preserve">03 Jan 2025 – 28 Feb 2025</w:t>
            </w:r>
          </w:p>
        </w:tc>
        <w:tc>
          <w:tcPr/>
          <w:p>
            <w:pPr>
              <w:pStyle w:val="Compact"/>
              <w:jc w:val="left"/>
            </w:pPr>
            <w:r>
              <w:t xml:space="preserve">120 hours</w:t>
            </w:r>
          </w:p>
        </w:tc>
        <w:tc>
          <w:tcPr/>
          <w:p>
            <w:pPr>
              <w:pStyle w:val="Compact"/>
              <w:jc w:val="left"/>
            </w:pPr>
            <w:r>
              <w:t xml:space="preserve">350.00</w:t>
            </w:r>
          </w:p>
        </w:tc>
        <w:tc>
          <w:tcPr/>
          <w:p>
            <w:pPr>
              <w:pStyle w:val="Compact"/>
              <w:jc w:val="left"/>
            </w:pPr>
            <w:r>
              <w:t xml:space="preserve">42,000.00</w:t>
            </w:r>
          </w:p>
        </w:tc>
      </w:tr>
      <w:tr>
        <w:tc>
          <w:tcPr/>
          <w:p>
            <w:pPr>
              <w:pStyle w:val="Compact"/>
              <w:jc w:val="left"/>
            </w:pPr>
            <w:r>
              <w:t xml:space="preserve">2</w:t>
            </w:r>
          </w:p>
        </w:tc>
        <w:tc>
          <w:tcPr/>
          <w:p>
            <w:pPr>
              <w:pStyle w:val="Compact"/>
              <w:jc w:val="left"/>
            </w:pPr>
            <w:r>
              <w:t xml:space="preserve">Designing and administering a mixed-methods survey targeting 500 respondents across Qatar Doha municipalities to assess public engagement with academic research outputs and knowledge dissemination strategies.</w:t>
            </w:r>
          </w:p>
        </w:tc>
        <w:tc>
          <w:tcPr/>
          <w:p>
            <w:pPr>
              <w:pStyle w:val="Compact"/>
              <w:jc w:val="left"/>
            </w:pPr>
            <w:r>
              <w:t xml:space="preserve">01 Mar 2025 – 30 Mar 2025</w:t>
            </w:r>
          </w:p>
        </w:tc>
        <w:tc>
          <w:tcPr/>
          <w:p>
            <w:pPr>
              <w:pStyle w:val="Compact"/>
              <w:jc w:val="left"/>
            </w:pPr>
            <w:r>
              <w:t xml:space="preserve">80 hours</w:t>
            </w:r>
          </w:p>
        </w:tc>
        <w:tc>
          <w:tcPr/>
          <w:p>
            <w:pPr>
              <w:pStyle w:val="Compact"/>
              <w:jc w:val="left"/>
            </w:pPr>
            <w:r>
              <w:t xml:space="preserve">350.00</w:t>
            </w:r>
          </w:p>
        </w:tc>
        <w:tc>
          <w:tcPr/>
          <w:p>
            <w:pPr>
              <w:pStyle w:val="Compact"/>
              <w:jc w:val="left"/>
            </w:pPr>
            <w:r>
              <w:t xml:space="preserve">28,000.00</w:t>
            </w:r>
          </w:p>
        </w:tc>
      </w:tr>
      <w:tr>
        <w:tc>
          <w:tcPr/>
          <w:p>
            <w:pPr>
              <w:pStyle w:val="Compact"/>
              <w:jc w:val="left"/>
            </w:pPr>
            <w:r>
              <w:t xml:space="preserve">3</w:t>
            </w:r>
          </w:p>
        </w:tc>
        <w:tc>
          <w:tcPr/>
          <w:p>
            <w:pPr>
              <w:pStyle w:val="Compact"/>
              <w:jc w:val="left"/>
            </w:pPr>
            <w:r>
              <w:t xml:space="preserve">Authoring a 25,000-word academic research report titled "Knowledge Economy Indicators in Qatar Doha: A Multi-Disciplinary Framework," including data visualization, statistical modeling, and policy recommendations.</w:t>
            </w:r>
          </w:p>
        </w:tc>
        <w:tc>
          <w:tcPr/>
          <w:p>
            <w:pPr>
              <w:pStyle w:val="Compact"/>
              <w:jc w:val="left"/>
            </w:pPr>
            <w:r>
              <w:t xml:space="preserve">01 Apr 2025 – 30 Apr 2025</w:t>
            </w:r>
          </w:p>
        </w:tc>
        <w:tc>
          <w:tcPr/>
          <w:p>
            <w:pPr>
              <w:pStyle w:val="Compact"/>
              <w:jc w:val="left"/>
            </w:pPr>
            <w:r>
              <w:t xml:space="preserve">100 hours</w:t>
            </w:r>
          </w:p>
        </w:tc>
        <w:tc>
          <w:tcPr/>
          <w:p>
            <w:pPr>
              <w:pStyle w:val="Compact"/>
              <w:jc w:val="left"/>
            </w:pPr>
            <w:r>
              <w:t xml:space="preserve">350.00</w:t>
            </w:r>
          </w:p>
        </w:tc>
        <w:tc>
          <w:tcPr/>
          <w:p>
            <w:pPr>
              <w:pStyle w:val="Compact"/>
              <w:jc w:val="left"/>
            </w:pPr>
            <w:r>
              <w:t xml:space="preserve">35,000.00</w:t>
            </w:r>
          </w:p>
        </w:tc>
      </w:tr>
      <w:tr>
        <w:tc>
          <w:tcPr/>
          <w:p>
            <w:pPr>
              <w:pStyle w:val="Compact"/>
              <w:jc w:val="left"/>
            </w:pPr>
            <w:r>
              <w:t xml:space="preserve">4</w:t>
            </w:r>
          </w:p>
        </w:tc>
        <w:tc>
          <w:tcPr/>
          <w:p>
            <w:pPr>
              <w:pStyle w:val="Compact"/>
              <w:jc w:val="left"/>
            </w:pPr>
            <w:r>
              <w:t xml:space="preserve">Delivering a keynote presentation and two-day workshop at the Qatar Doha International Academic Conference 2025, covering advanced research methodologies for early-career Academic Researcher professionals in the region.</w:t>
            </w:r>
          </w:p>
        </w:tc>
        <w:tc>
          <w:tcPr/>
          <w:p>
            <w:pPr>
              <w:pStyle w:val="Compact"/>
              <w:jc w:val="left"/>
            </w:pPr>
            <w:r>
              <w:t xml:space="preserve">12 May 2025 – 13 May 2025</w:t>
            </w:r>
          </w:p>
        </w:tc>
        <w:tc>
          <w:tcPr/>
          <w:p>
            <w:pPr>
              <w:pStyle w:val="Compact"/>
              <w:jc w:val="left"/>
            </w:pPr>
            <w:r>
              <w:t xml:space="preserve">16 hours</w:t>
            </w:r>
          </w:p>
        </w:tc>
        <w:tc>
          <w:tcPr/>
          <w:p>
            <w:pPr>
              <w:pStyle w:val="Compact"/>
              <w:jc w:val="left"/>
            </w:pPr>
            <w:r>
              <w:t xml:space="preserve">500.00</w:t>
            </w:r>
          </w:p>
        </w:tc>
        <w:tc>
          <w:tcPr/>
          <w:p>
            <w:pPr>
              <w:pStyle w:val="Compact"/>
              <w:jc w:val="left"/>
            </w:pPr>
            <w:r>
              <w:t xml:space="preserve">8,000.00</w:t>
            </w:r>
          </w:p>
        </w:tc>
      </w:tr>
      <w:tr>
        <w:tc>
          <w:tcPr/>
          <w:p>
            <w:pPr>
              <w:pStyle w:val="Compact"/>
              <w:jc w:val="left"/>
            </w:pPr>
            <w:r>
              <w:t xml:space="preserve">5</w:t>
            </w:r>
          </w:p>
        </w:tc>
        <w:tc>
          <w:tcPr/>
          <w:p>
            <w:pPr>
              <w:pStyle w:val="Compact"/>
              <w:jc w:val="left"/>
            </w:pPr>
            <w:r>
              <w:t xml:space="preserve">Providing peer review and editorial consultation for three (3) journal articles submitted to the Qatar Doha Journal of Academic Inquiry, ensuring compliance with international publishing standards and ethical research guidelines.</w:t>
            </w:r>
          </w:p>
        </w:tc>
        <w:tc>
          <w:tcPr/>
          <w:p>
            <w:pPr>
              <w:pStyle w:val="Compact"/>
              <w:jc w:val="left"/>
            </w:pPr>
            <w:r>
              <w:t xml:space="preserve">01 Jun 2025 – 10 Jun 2025</w:t>
            </w:r>
          </w:p>
        </w:tc>
        <w:tc>
          <w:tcPr/>
          <w:p>
            <w:pPr>
              <w:pStyle w:val="Compact"/>
              <w:jc w:val="left"/>
            </w:pPr>
            <w:r>
              <w:t xml:space="preserve">30 hours</w:t>
            </w:r>
          </w:p>
        </w:tc>
        <w:tc>
          <w:tcPr/>
          <w:p>
            <w:pPr>
              <w:pStyle w:val="Compact"/>
              <w:jc w:val="left"/>
            </w:pPr>
            <w:r>
              <w:t xml:space="preserve">350.00</w:t>
            </w:r>
          </w:p>
        </w:tc>
        <w:tc>
          <w:tcPr/>
          <w:p>
            <w:pPr>
              <w:pStyle w:val="Compact"/>
              <w:jc w:val="left"/>
            </w:pPr>
            <w:r>
              <w:t xml:space="preserve">10,500.00</w:t>
            </w:r>
          </w:p>
        </w:tc>
      </w:tr>
      <w:tr>
        <w:tc>
          <w:tcPr/>
          <w:p>
            <w:pPr>
              <w:pStyle w:val="Compact"/>
              <w:jc w:val="left"/>
            </w:pPr>
            <w:r>
              <w:t xml:space="preserve">6</w:t>
            </w:r>
          </w:p>
        </w:tc>
        <w:tc>
          <w:tcPr/>
          <w:p>
            <w:pPr>
              <w:pStyle w:val="Compact"/>
              <w:jc w:val="left"/>
            </w:pPr>
            <w:r>
              <w:t xml:space="preserve">Travel and accommodation expenses incurred for field research visits to the National Museum of Qatar, the Qatar National Library, and the Qatar Doha Science and Technology Park for primary data collection.</w:t>
            </w:r>
          </w:p>
        </w:tc>
        <w:tc>
          <w:tcPr/>
          <w:p>
            <w:pPr>
              <w:pStyle w:val="Compact"/>
              <w:jc w:val="left"/>
            </w:pPr>
            <w:r>
              <w:t xml:space="preserve">Jan 2025 – Jun 2025</w:t>
            </w:r>
          </w:p>
        </w:tc>
        <w:tc>
          <w:tcPr/>
          <w:p>
            <w:pPr>
              <w:pStyle w:val="Compact"/>
              <w:jc w:val="left"/>
            </w:pPr>
            <w:r>
              <w:t xml:space="preserve">Flat rate</w:t>
            </w:r>
          </w:p>
        </w:tc>
        <w:tc>
          <w:tcPr/>
          <w:p>
            <w:pPr>
              <w:pStyle w:val="Compact"/>
              <w:jc w:val="left"/>
            </w:pPr>
            <w:r>
              <w:t xml:space="preserve">1.00</w:t>
            </w:r>
          </w:p>
        </w:tc>
        <w:tc>
          <w:tcPr/>
          <w:p>
            <w:pPr>
              <w:pStyle w:val="Compact"/>
              <w:jc w:val="left"/>
            </w:pPr>
            <w:r>
              <w:t xml:space="preserve">4,500.00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128,000.00 QAR</w:t>
            </w:r>
          </w:p>
        </w:tc>
      </w:tr>
      <w:tr>
        <w:tc>
          <w:tcPr/>
          <w:p>
            <w:pPr>
              <w:pStyle w:val="Compact"/>
              <w:jc w:val="left"/>
            </w:pPr>
            <w:r>
              <w:t xml:space="preserve">VAT (5% — Qatar Standard Rate)</w:t>
            </w:r>
          </w:p>
        </w:tc>
        <w:tc>
          <w:tcPr/>
          <w:p>
            <w:pPr>
              <w:pStyle w:val="Compact"/>
              <w:jc w:val="right"/>
            </w:pPr>
            <w:r>
              <w:t xml:space="preserve">6,400.00 QAR</w:t>
            </w:r>
          </w:p>
        </w:tc>
      </w:tr>
      <w:tr>
        <w:tc>
          <w:tcPr/>
          <w:p>
            <w:pPr>
              <w:pStyle w:val="Compact"/>
              <w:jc w:val="left"/>
            </w:pPr>
            <w:r>
              <w:t xml:space="preserve">Discount (Qatar Foundation Partner Rate)</w:t>
            </w:r>
          </w:p>
        </w:tc>
        <w:tc>
          <w:tcPr/>
          <w:p>
            <w:pPr>
              <w:pStyle w:val="Compact"/>
              <w:jc w:val="right"/>
            </w:pPr>
            <w:r>
              <w:t xml:space="preserve">-3,200.00 QAR</w:t>
            </w:r>
          </w:p>
        </w:tc>
      </w:tr>
      <w:tr>
        <w:tc>
          <w:tcPr/>
          <w:p>
            <w:pPr>
              <w:pStyle w:val="Compact"/>
              <w:jc w:val="left"/>
            </w:pPr>
            <w:r>
              <w:t xml:space="preserve">GRAND TOTAL DUE</w:t>
            </w:r>
          </w:p>
        </w:tc>
        <w:tc>
          <w:tcPr/>
          <w:p>
            <w:pPr>
              <w:pStyle w:val="Compact"/>
              <w:jc w:val="right"/>
            </w:pPr>
            <w:r>
              <w:t xml:space="preserve">131,200.00 QAR</w:t>
            </w:r>
          </w:p>
        </w:tc>
      </w:tr>
    </w:tbl>
    <w:bookmarkEnd w:id="25"/>
    <w:bookmarkStart w:id="26" w:name="invoice-terms-and-conditions"/>
    <w:p>
      <w:pPr>
        <w:pStyle w:val="Heading3"/>
      </w:pPr>
      <w:r>
        <w:t xml:space="preserve">INVOICE TERMS AND CONDITIONS</w:t>
      </w:r>
    </w:p>
    <w:p>
      <w:pPr>
        <w:numPr>
          <w:ilvl w:val="0"/>
          <w:numId w:val="1001"/>
        </w:numPr>
        <w:pStyle w:val="Compact"/>
      </w:pPr>
      <w:r>
        <w:t xml:space="preserve">This Invoice is issued by Dr. Sarah Al-Mansouri, a credentialed Academic Researcher based in Qatar Doha, in accordance with the terms of the Service Agreement (Ref: QF-RI-2025-0089) executed on 20 December 2024 between the parties.</w:t>
      </w:r>
    </w:p>
    <w:p>
      <w:pPr>
        <w:numPr>
          <w:ilvl w:val="0"/>
          <w:numId w:val="1001"/>
        </w:numPr>
        <w:pStyle w:val="Compact"/>
      </w:pPr>
      <w:r>
        <w:t xml:space="preserve">Payment of this Invoice is due within thirty (30) calendar days from the Invoice date of 15 June 2025. Late payments shall accrue interest at a rate of 1.5% per month, in compliance with Qatar commercial law.</w:t>
      </w:r>
    </w:p>
    <w:p>
      <w:pPr>
        <w:numPr>
          <w:ilvl w:val="0"/>
          <w:numId w:val="1001"/>
        </w:numPr>
        <w:pStyle w:val="Compact"/>
      </w:pPr>
      <w:r>
        <w:t xml:space="preserve">All Academic Researcher services described in this Invoice were conducted in full compliance with the Qatar National Research Ethics Committee guidelines and the institutional review board requirements of Qatar University, Doha.</w:t>
      </w:r>
    </w:p>
    <w:p>
      <w:pPr>
        <w:numPr>
          <w:ilvl w:val="0"/>
          <w:numId w:val="1001"/>
        </w:numPr>
        <w:pStyle w:val="Compact"/>
      </w:pPr>
      <w:r>
        <w:t xml:space="preserve">The Academic Researcher retains full intellectual property rights over all original research methodologies, analytical frameworks, and unpublished data generated during the engagement. The client receives a non-exclusive, non-transferable license to use the final deliverables for internal institutional purposes within Qatar Doha.</w:t>
      </w:r>
    </w:p>
    <w:p>
      <w:pPr>
        <w:numPr>
          <w:ilvl w:val="0"/>
          <w:numId w:val="1001"/>
        </w:numPr>
        <w:pStyle w:val="Compact"/>
      </w:pPr>
      <w:r>
        <w:t xml:space="preserve">Any disputes arising from this Invoice shall be resolved through arbitration in Doha, Qatar, in accordance with the rules of the Qatar International Arbitration Centre (QIAC).</w:t>
      </w:r>
    </w:p>
    <w:p>
      <w:pPr>
        <w:numPr>
          <w:ilvl w:val="0"/>
          <w:numId w:val="1001"/>
        </w:numPr>
        <w:pStyle w:val="Compact"/>
      </w:pPr>
      <w:r>
        <w:t xml:space="preserve">This Invoice is valid for a period of ninety (90) days from the date of issue. After this period, the Academic Researcher reserves the right to reissue the Invoice with updated terms or to initiate collection proceedings.</w:t>
      </w:r>
    </w:p>
    <w:p>
      <w:pPr>
        <w:numPr>
          <w:ilvl w:val="0"/>
          <w:numId w:val="1001"/>
        </w:numPr>
        <w:pStyle w:val="Compact"/>
      </w:pPr>
      <w:r>
        <w:t xml:space="preserve">All communications regarding this Invoice should be directed to the Academic Researcher at the contact details provided above, or to the Qatar Foundation Office of Research and Innovation in Doha.</w:t>
      </w:r>
    </w:p>
    <w:bookmarkEnd w:id="26"/>
    <w:p>
      <w:pPr>
        <w:pStyle w:val="FirstParagraph"/>
      </w:pPr>
      <w:r>
        <w:rPr>
          <w:bCs/>
          <w:b/>
        </w:rPr>
        <w:t xml:space="preserve">INVOICE NO: QD-AR-2025-0472</w:t>
      </w:r>
      <w:r>
        <w:t xml:space="preserve"> </w:t>
      </w:r>
      <w:r>
        <w:t xml:space="preserve">| Issued by: Dr. Sarah Al-Mansouri, Academic Researcher | Qatar Doha, State of Qatar</w:t>
      </w:r>
    </w:p>
    <w:p>
      <w:pPr>
        <w:pStyle w:val="BodyText"/>
      </w:pPr>
      <w:r>
        <w:t xml:space="preserve">This Invoice has been generated electronically and is valid without a physical signature. For verification, please contact the issuing Academic Researcher or the Qatar Foundation finance department.</w:t>
      </w:r>
    </w:p>
    <w:p>
      <w:pPr>
        <w:pStyle w:val="BodyText"/>
      </w:pPr>
      <w:r>
        <w:t xml:space="preserve">© 2025 Dr. Sarah Al-Mansouri — All Rights Reserved. This document is the property of the issuing Academic Researcher and the Qatar Foundation. Unauthorized reproduction is prohibited under Qatar intellectual property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Academic Researcher Services - Qatar Doha</dc:title>
  <dc:creator/>
  <dc:language>en</dc:language>
  <cp:keywords/>
  <dcterms:created xsi:type="dcterms:W3CDTF">2026-10-10T02:22:47Z</dcterms:created>
  <dcterms:modified xsi:type="dcterms:W3CDTF">2026-10-10T02:22:47Z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