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INVOICE</w:t>
      </w:r>
    </w:p>
    <w:p>
      <w:pPr>
        <w:pStyle w:val="BodyText"/>
      </w:pPr>
      <w:r>
        <w:t xml:space="preserve">Academic Researcher Professional Services</w:t>
      </w:r>
    </w:p>
    <w:p>
      <w:pPr>
        <w:pStyle w:val="BodyText"/>
      </w:pPr>
      <w:r>
        <w:t xml:space="preserve">United Arab Emirates — Abu Dhabi</w:t>
      </w:r>
    </w:p>
    <w:p>
      <w:pPr>
        <w:pStyle w:val="BodyText"/>
      </w:pPr>
      <w:r>
        <w:t xml:space="preserve">Invoice No: INV-ADH-2025-04871</w:t>
      </w:r>
    </w:p>
    <w:p>
      <w:pPr>
        <w:pStyle w:val="BodyText"/>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Reference: PRJ-ADH-2025-0092</w:t>
      </w:r>
    </w:p>
    <w:bookmarkStart w:id="20" w:name="issued-by-academic-researcher"/>
    <w:p>
      <w:pPr>
        <w:pStyle w:val="Heading3"/>
      </w:pPr>
      <w:r>
        <w:t xml:space="preserve">Issued By (Academic Researcher)</w:t>
      </w:r>
    </w:p>
    <w:p>
      <w:pPr>
        <w:pStyle w:val="FirstParagraph"/>
      </w:pPr>
      <w:r>
        <w:t xml:space="preserve">Dr. Khalid Al Mansoori</w:t>
      </w:r>
    </w:p>
    <w:p>
      <w:pPr>
        <w:pStyle w:val="BodyText"/>
      </w:pPr>
      <w:r>
        <w:t xml:space="preserve">Senior Academic Researcher &amp; Consultant</w:t>
      </w:r>
    </w:p>
    <w:p>
      <w:pPr>
        <w:pStyle w:val="BodyText"/>
      </w:pPr>
      <w:r>
        <w:t xml:space="preserve">Al Reem Island, Tower 7, Floor 12</w:t>
      </w:r>
    </w:p>
    <w:p>
      <w:pPr>
        <w:pStyle w:val="BodyText"/>
      </w:pPr>
      <w:r>
        <w:t xml:space="preserve">Abu Dhabi, United Arab Emirates</w:t>
      </w:r>
    </w:p>
    <w:p>
      <w:pPr>
        <w:pStyle w:val="BodyText"/>
      </w:pPr>
      <w:r>
        <w:t xml:space="preserve">P.O. Box 45218, Abu Dhabi, UAE</w:t>
      </w:r>
    </w:p>
    <w:p>
      <w:pPr>
        <w:pStyle w:val="BodyText"/>
      </w:pPr>
      <w:r>
        <w:t xml:space="preserve">Email: k.almansoori@research-abudhabi.ae</w:t>
      </w:r>
    </w:p>
    <w:p>
      <w:pPr>
        <w:pStyle w:val="BodyText"/>
      </w:pPr>
      <w:r>
        <w:t xml:space="preserve">Phone: +971 2 555 0147</w:t>
      </w:r>
    </w:p>
    <w:p>
      <w:pPr>
        <w:pStyle w:val="BodyText"/>
      </w:pPr>
      <w:r>
        <w:t xml:space="preserve">TRN: 100234567800003</w:t>
      </w:r>
    </w:p>
    <w:bookmarkEnd w:id="20"/>
    <w:bookmarkStart w:id="21" w:name="bill-to-client"/>
    <w:p>
      <w:pPr>
        <w:pStyle w:val="Heading3"/>
      </w:pPr>
      <w:r>
        <w:t xml:space="preserve">Bill To (Client)</w:t>
      </w:r>
    </w:p>
    <w:p>
      <w:pPr>
        <w:pStyle w:val="FirstParagraph"/>
      </w:pPr>
      <w:r>
        <w:t xml:space="preserve">Abu Dhabi Advanced Research Institute</w:t>
      </w:r>
    </w:p>
    <w:p>
      <w:pPr>
        <w:pStyle w:val="BodyText"/>
      </w:pPr>
      <w:r>
        <w:t xml:space="preserve">Attn: Dr. Fatima Al Suwaidi, Director of Research</w:t>
      </w:r>
    </w:p>
    <w:p>
      <w:pPr>
        <w:pStyle w:val="BodyText"/>
      </w:pPr>
      <w:r>
        <w:t xml:space="preserve">Al Maryah Island, Building 3, Floor 8</w:t>
      </w:r>
    </w:p>
    <w:p>
      <w:pPr>
        <w:pStyle w:val="BodyText"/>
      </w:pPr>
      <w:r>
        <w:t xml:space="preserve">Abu Dhabi, United Arab Emirates</w:t>
      </w:r>
    </w:p>
    <w:p>
      <w:pPr>
        <w:pStyle w:val="BodyText"/>
      </w:pPr>
      <w:r>
        <w:t xml:space="preserve">P.O. Box 12894, Abu Dhabi, UAE</w:t>
      </w:r>
    </w:p>
    <w:p>
      <w:pPr>
        <w:pStyle w:val="BodyText"/>
      </w:pPr>
      <w:r>
        <w:t xml:space="preserve">Email: procurement@adari.ae</w:t>
      </w:r>
    </w:p>
    <w:p>
      <w:pPr>
        <w:pStyle w:val="BodyText"/>
      </w:pPr>
      <w:r>
        <w:t xml:space="preserve">Phone: +971 2 444 8821</w:t>
      </w:r>
    </w:p>
    <w:p>
      <w:pPr>
        <w:pStyle w:val="BodyText"/>
      </w:pPr>
      <w:r>
        <w:t xml:space="preserve">TRN: 100987654300003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Deliverable / Period</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Comprehensive literature review and systematic analysis of renewable energy policy frameworks in the Gulf region, conducted by a qualified Academic Researcher with over fifteen years of experience in energy studies.</w:t>
            </w:r>
          </w:p>
        </w:tc>
        <w:tc>
          <w:tcPr/>
          <w:p>
            <w:pPr>
              <w:pStyle w:val="Compact"/>
              <w:jc w:val="left"/>
            </w:pPr>
            <w:r>
              <w:t xml:space="preserve">January – March 2025</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Design and execution of quantitative survey methodology targeting 500+ respondents across Abu Dhabi and the wider United Arab Emirates, including data collection, statistical modelling, and interpretive analysis.</w:t>
            </w:r>
          </w:p>
        </w:tc>
        <w:tc>
          <w:tcPr/>
          <w:p>
            <w:pPr>
              <w:pStyle w:val="Compact"/>
              <w:jc w:val="left"/>
            </w:pPr>
            <w:r>
              <w:t xml:space="preserve">February – April 2025</w:t>
            </w:r>
          </w:p>
        </w:tc>
        <w:tc>
          <w:tcPr/>
          <w:p>
            <w:pPr>
              <w:pStyle w:val="Compact"/>
              <w:jc w:val="left"/>
            </w:pPr>
            <w:r>
              <w:t xml:space="preserve">18,750.00</w:t>
            </w:r>
          </w:p>
        </w:tc>
        <w:tc>
          <w:tcPr/>
          <w:p>
            <w:pPr>
              <w:pStyle w:val="Compact"/>
              <w:jc w:val="left"/>
            </w:pPr>
            <w:r>
              <w:t xml:space="preserve">1</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Preparation of a peer-reviewed quality research report (minimum 45 pages) with executive summary, methodology documentation, findings, and actionable policy recommendations for the Abu Dhabi municipal planning authority.</w:t>
            </w:r>
          </w:p>
        </w:tc>
        <w:tc>
          <w:tcPr/>
          <w:p>
            <w:pPr>
              <w:pStyle w:val="Compact"/>
              <w:jc w:val="left"/>
            </w:pPr>
            <w:r>
              <w:t xml:space="preserve">April – May 2025</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Two (2) in-person presentation sessions at the Abu Dhabi Research Conference, delivered by the Academic Researcher, including Q&amp;A facilitation and post-presentation written feedback to the organizing committee.</w:t>
            </w:r>
          </w:p>
        </w:tc>
        <w:tc>
          <w:tcPr/>
          <w:p>
            <w:pPr>
              <w:pStyle w:val="Compact"/>
              <w:jc w:val="left"/>
            </w:pPr>
            <w:r>
              <w:t xml:space="preserve">May 2025</w:t>
            </w:r>
          </w:p>
        </w:tc>
        <w:tc>
          <w:tcPr/>
          <w:p>
            <w:pPr>
              <w:pStyle w:val="Compact"/>
              <w:jc w:val="left"/>
            </w:pPr>
            <w:r>
              <w:t xml:space="preserve">6,500.00</w:t>
            </w:r>
          </w:p>
        </w:tc>
        <w:tc>
          <w:tcPr/>
          <w:p>
            <w:pPr>
              <w:pStyle w:val="Compact"/>
              <w:jc w:val="left"/>
            </w:pPr>
            <w:r>
              <w:t xml:space="preserve">2</w:t>
            </w:r>
          </w:p>
        </w:tc>
        <w:tc>
          <w:tcPr/>
          <w:p>
            <w:pPr>
              <w:pStyle w:val="Compact"/>
              <w:jc w:val="left"/>
            </w:pPr>
            <w:r>
              <w:t xml:space="preserve">13,000.00</w:t>
            </w:r>
          </w:p>
        </w:tc>
      </w:tr>
      <w:tr>
        <w:tc>
          <w:tcPr/>
          <w:p>
            <w:pPr>
              <w:pStyle w:val="Compact"/>
              <w:jc w:val="left"/>
            </w:pPr>
            <w:r>
              <w:t xml:space="preserve">5</w:t>
            </w:r>
          </w:p>
        </w:tc>
        <w:tc>
          <w:tcPr/>
          <w:p>
            <w:pPr>
              <w:pStyle w:val="Compact"/>
              <w:jc w:val="left"/>
            </w:pPr>
            <w:r>
              <w:t xml:space="preserve">Academic Researcher mentorship and supervision of three (3) postgraduate research assistants assigned to the project, including weekly progress reviews, methodological guidance, and final thesis feedback.</w:t>
            </w:r>
          </w:p>
        </w:tc>
        <w:tc>
          <w:tcPr/>
          <w:p>
            <w:pPr>
              <w:pStyle w:val="Compact"/>
              <w:jc w:val="left"/>
            </w:pPr>
            <w:r>
              <w:t xml:space="preserve">January – May 2025</w:t>
            </w:r>
          </w:p>
        </w:tc>
        <w:tc>
          <w:tcPr/>
          <w:p>
            <w:pPr>
              <w:pStyle w:val="Compact"/>
              <w:jc w:val="left"/>
            </w:pPr>
            <w:r>
              <w:t xml:space="preserve">4,200.00</w:t>
            </w:r>
          </w:p>
        </w:tc>
        <w:tc>
          <w:tcPr/>
          <w:p>
            <w:pPr>
              <w:pStyle w:val="Compact"/>
              <w:jc w:val="left"/>
            </w:pPr>
            <w:r>
              <w:t xml:space="preserve">3</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Publication of a condensed findings article in a Q1-indexed international journal, including editorial coordination, revision cycles, and open-access publication fees as applicable in the United Arab Emirates academic publishing landscape.</w:t>
            </w:r>
          </w:p>
        </w:tc>
        <w:tc>
          <w:tcPr/>
          <w:p>
            <w:pPr>
              <w:pStyle w:val="Compact"/>
              <w:jc w:val="left"/>
            </w:pPr>
            <w:r>
              <w:t xml:space="preserve">June 2025</w:t>
            </w:r>
          </w:p>
        </w:tc>
        <w:tc>
          <w:tcPr/>
          <w:p>
            <w:pPr>
              <w:pStyle w:val="Compact"/>
              <w:jc w:val="left"/>
            </w:pPr>
            <w:r>
              <w:t xml:space="preserve">8,900.00</w:t>
            </w:r>
          </w:p>
        </w:tc>
        <w:tc>
          <w:tcPr/>
          <w:p>
            <w:pPr>
              <w:pStyle w:val="Compact"/>
              <w:jc w:val="left"/>
            </w:pPr>
            <w:r>
              <w:t xml:space="preserve">1</w:t>
            </w:r>
          </w:p>
        </w:tc>
        <w:tc>
          <w:tcPr/>
          <w:p>
            <w:pPr>
              <w:pStyle w:val="Compact"/>
              <w:jc w:val="left"/>
            </w:pPr>
            <w:r>
              <w:t xml:space="preserve">8,900.00</w:t>
            </w:r>
          </w:p>
        </w:tc>
      </w:tr>
    </w:tbl>
    <w:p>
      <w:pPr>
        <w:pStyle w:val="BodyText"/>
      </w:pPr>
      <w:r>
        <w:t xml:space="preserve">Subtotal (AED)</w:t>
      </w:r>
      <w:r>
        <w:t xml:space="preserve">87,750.00</w:t>
      </w:r>
    </w:p>
    <w:p>
      <w:pPr>
        <w:pStyle w:val="BodyText"/>
      </w:pPr>
      <w:r>
        <w:t xml:space="preserve">VAT @ 5%</w:t>
      </w:r>
      <w:r>
        <w:t xml:space="preserve"> </w:t>
      </w:r>
      <w:r>
        <w:t xml:space="preserve">UAE VAT</w:t>
      </w:r>
      <w:r>
        <w:t xml:space="preserve">4,387.50</w:t>
      </w:r>
    </w:p>
    <w:p>
      <w:pPr>
        <w:pStyle w:val="BodyText"/>
      </w:pPr>
      <w:r>
        <w:t xml:space="preserve">Withholding Tax (if applicable)</w:t>
      </w:r>
      <w:r>
        <w:t xml:space="preserve">0.00</w:t>
      </w:r>
    </w:p>
    <w:p>
      <w:pPr>
        <w:pStyle w:val="BodyText"/>
      </w:pPr>
      <w:r>
        <w:t xml:space="preserve">Grand Total (AED)</w:t>
      </w:r>
      <w:r>
        <w:t xml:space="preserve">92,137.50</w:t>
      </w:r>
    </w:p>
    <w:bookmarkStart w:id="22" w:name="X87216d808ec8862616c64cc18b6762c43803388"/>
    <w:p>
      <w:pPr>
        <w:pStyle w:val="Heading3"/>
      </w:pPr>
      <w:r>
        <w:t xml:space="preserve">Payment Instructions — United Arab Emirates Abu Dhabi</w:t>
      </w:r>
    </w:p>
    <w:p>
      <w:pPr>
        <w:pStyle w:val="FirstParagraph"/>
      </w:pPr>
      <w:r>
        <w:rPr>
          <w:bCs/>
          <w:b/>
        </w:rPr>
        <w:t xml:space="preserve">Bank:</w:t>
      </w:r>
      <w:r>
        <w:t xml:space="preserve"> </w:t>
      </w:r>
      <w:r>
        <w:t xml:space="preserve">First Abu Dhabi Bank (FAB)</w:t>
      </w:r>
    </w:p>
    <w:p>
      <w:pPr>
        <w:pStyle w:val="BodyText"/>
      </w:pPr>
      <w:r>
        <w:rPr>
          <w:bCs/>
          <w:b/>
        </w:rPr>
        <w:t xml:space="preserve">Account Name:</w:t>
      </w:r>
      <w:r>
        <w:t xml:space="preserve"> </w:t>
      </w:r>
      <w:r>
        <w:t xml:space="preserve">Dr. Khalid Al Mansoori — Academic Researcher Services</w:t>
      </w:r>
    </w:p>
    <w:p>
      <w:pPr>
        <w:pStyle w:val="BodyText"/>
      </w:pPr>
      <w:r>
        <w:rPr>
          <w:bCs/>
          <w:b/>
        </w:rPr>
        <w:t xml:space="preserve">Account Number:</w:t>
      </w:r>
      <w:r>
        <w:t xml:space="preserve"> </w:t>
      </w:r>
      <w:r>
        <w:t xml:space="preserve">001-0045-2218-009</w:t>
      </w:r>
    </w:p>
    <w:p>
      <w:pPr>
        <w:pStyle w:val="BodyText"/>
      </w:pPr>
      <w:r>
        <w:rPr>
          <w:bCs/>
          <w:b/>
        </w:rPr>
        <w:t xml:space="preserve">IBAN:</w:t>
      </w:r>
      <w:r>
        <w:t xml:space="preserve"> </w:t>
      </w:r>
      <w:r>
        <w:t xml:space="preserve">AE0700000000000012345678</w:t>
      </w:r>
    </w:p>
    <w:p>
      <w:pPr>
        <w:pStyle w:val="BodyText"/>
      </w:pPr>
      <w:r>
        <w:rPr>
          <w:bCs/>
          <w:b/>
        </w:rPr>
        <w:t xml:space="preserve">SWIFT/BIC:</w:t>
      </w:r>
      <w:r>
        <w:t xml:space="preserve"> </w:t>
      </w:r>
      <w:r>
        <w:t xml:space="preserve">FABDAEAD</w:t>
      </w:r>
    </w:p>
    <w:p>
      <w:pPr>
        <w:pStyle w:val="BodyText"/>
      </w:pPr>
      <w:r>
        <w:rPr>
          <w:bCs/>
          <w:b/>
        </w:rPr>
        <w:t xml:space="preserve">Branch:</w:t>
      </w:r>
      <w:r>
        <w:t xml:space="preserve"> </w:t>
      </w:r>
      <w:r>
        <w:t xml:space="preserve">Al Reem Island, Abu Dhabi, United Arab Emirates</w:t>
      </w:r>
    </w:p>
    <w:p>
      <w:pPr>
        <w:pStyle w:val="BodyText"/>
      </w:pPr>
      <w:r>
        <w:rPr>
          <w:bCs/>
          <w:b/>
        </w:rPr>
        <w:t xml:space="preserve">Reference:</w:t>
      </w:r>
      <w:r>
        <w:t xml:space="preserve"> </w:t>
      </w:r>
      <w:r>
        <w:t xml:space="preserve">Please quote Invoice No. INV-ADH-2025-04871 in all payment communications.</w:t>
      </w:r>
    </w:p>
    <w:bookmarkEnd w:id="22"/>
    <w:bookmarkStart w:id="23" w:name="notes-terms-of-engagement"/>
    <w:p>
      <w:pPr>
        <w:pStyle w:val="Heading3"/>
      </w:pPr>
      <w:r>
        <w:t xml:space="preserve">Notes &amp; Terms of Engagement</w:t>
      </w:r>
    </w:p>
    <w:p>
      <w:pPr>
        <w:pStyle w:val="FirstParagraph"/>
      </w:pPr>
      <w:r>
        <w:t xml:space="preserve">1. This Invoice is issued in accordance with the Federal Tax Authority (FTA) regulations of the United Arab Emirates and reflects the standard 5% Value Added Tax applicable to professional services rendered in Abu Dhabi.</w:t>
      </w:r>
    </w:p>
    <w:p>
      <w:pPr>
        <w:pStyle w:val="BodyText"/>
      </w:pPr>
      <w:r>
        <w:t xml:space="preserve">2. All academic research deliverables referenced in this Invoice are the intellectual property of the Academic Researcher until full payment is received. Upon clearance of the Grand Total, all rights to the research outputs, data sets, and publication materials shall transfer to the client.</w:t>
      </w:r>
    </w:p>
    <w:p>
      <w:pPr>
        <w:pStyle w:val="BodyText"/>
      </w:pPr>
      <w:r>
        <w:t xml:space="preserve">3. The Academic Researcher reserves the right to publish anonymized methodological findings in academic forums, provided that no confidential client data is disclosed. Prior written consent is required for any publication that references the Abu Dhabi Advanced Research Institute by name.</w:t>
      </w:r>
    </w:p>
    <w:p>
      <w:pPr>
        <w:pStyle w:val="BodyText"/>
      </w:pPr>
      <w:r>
        <w:t xml:space="preserve">4. Payment is due within fifteen (15) calendar days from the Invoice date. Late payments shall attract a penalty interest of 2% per month as stipulated under UAE commercial law.</w:t>
      </w:r>
    </w:p>
    <w:p>
      <w:pPr>
        <w:pStyle w:val="BodyText"/>
      </w:pPr>
      <w:r>
        <w:t xml:space="preserve">5. Any disputes arising from this Invoice or the associated research engagement shall be resolved through arbitration in Abu Dhabi, United Arab Emirates, in accordance with the rules of the Abu Dhabi Global Market (ADGM) Financial Services Regulatory Authority.</w:t>
      </w:r>
    </w:p>
    <w:p>
      <w:pPr>
        <w:pStyle w:val="BodyText"/>
      </w:pPr>
      <w:r>
        <w:t xml:space="preserve">6. This Invoice is valid for ninety (90) days from the date of issue. After this period, the Academic Researcher reserves the right to re-quote rates based on prevailing market conditions in the Abu Dhabi research sector.</w:t>
      </w:r>
    </w:p>
    <w:bookmarkEnd w:id="23"/>
    <w:p>
      <w:pPr>
        <w:pStyle w:val="BodyText"/>
      </w:pPr>
      <w:r>
        <w:rPr>
          <w:bCs/>
          <w:b/>
        </w:rPr>
        <w:t xml:space="preserve">Dr. Khalid Al Mansoori</w:t>
      </w:r>
      <w:r>
        <w:t xml:space="preserve"> </w:t>
      </w:r>
      <w:r>
        <w:t xml:space="preserve">— Academic Researcher, Abu Dhabi, United Arab Emirates</w:t>
      </w:r>
    </w:p>
    <w:p>
      <w:pPr>
        <w:pStyle w:val="BodyText"/>
      </w:pPr>
      <w:r>
        <w:t xml:space="preserve">Registered Professional Services Provider | TRN: 100234567800003 | License No: AD-RES-2019-00342</w:t>
      </w:r>
    </w:p>
    <w:p>
      <w:pPr>
        <w:pStyle w:val="BodyText"/>
      </w:pPr>
      <w:r>
        <w:t xml:space="preserve">This Invoice has been generated electronically and is valid without a physical signature in compliance with UAE Electronic Transactions Law (Federal Decree-Law No. 46 of 2021).</w:t>
      </w:r>
    </w:p>
    <w:p>
      <w:pPr>
        <w:pStyle w:val="BodyText"/>
      </w:pPr>
      <w:r>
        <w:t xml:space="preserve">© 2025 Academic Researcher Services, Abu Dhabi,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United Arab Emirates Abu Dhabi</dc:title>
  <dc:creator/>
  <dc:language>en</dc:language>
  <cp:keywords/>
  <dcterms:created xsi:type="dcterms:W3CDTF">2026-10-10T07:07:33Z</dcterms:created>
  <dcterms:modified xsi:type="dcterms:W3CDTF">2026-10-10T07:07:33Z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