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Academic Researcher Professional Services</w:t>
      </w:r>
    </w:p>
    <w:p>
      <w:pPr>
        <w:pStyle w:val="BodyText"/>
      </w:pPr>
      <w:r>
        <w:t xml:space="preserve">United Arab Emirates — Dubai</w:t>
      </w:r>
    </w:p>
    <w:bookmarkEnd w:id="20"/>
    <w:p>
      <w:pPr>
        <w:pStyle w:val="BodyText"/>
      </w:pPr>
      <w:r>
        <w:rPr>
          <w:bCs/>
          <w:b/>
        </w:rPr>
        <w:t xml:space="preserve">Invoice Number:</w:t>
      </w:r>
      <w:r>
        <w:t xml:space="preserve"> </w:t>
      </w:r>
      <w:r>
        <w:t xml:space="preserve">INV-DXB-2025-04871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DRAFT → FINAL</w:t>
      </w:r>
    </w:p>
    <w:bookmarkStart w:id="21" w:name="issued-by-academic-researcher"/>
    <w:p>
      <w:pPr>
        <w:pStyle w:val="Heading3"/>
      </w:pPr>
      <w:r>
        <w:t xml:space="preserve">Issued By (Academic Researcher)</w:t>
      </w:r>
    </w:p>
    <w:p>
      <w:pPr>
        <w:pStyle w:val="FirstParagraph"/>
      </w:pPr>
      <w:r>
        <w:rPr>
          <w:bCs/>
          <w:b/>
        </w:rPr>
        <w:t xml:space="preserve">Dr. Fatima Al Mansoori, PhD</w:t>
      </w:r>
    </w:p>
    <w:p>
      <w:pPr>
        <w:pStyle w:val="BodyText"/>
      </w:pPr>
      <w:r>
        <w:t xml:space="preserve">Senior Academic Researcher &amp; Consultant</w:t>
      </w:r>
    </w:p>
    <w:p>
      <w:pPr>
        <w:pStyle w:val="BodyText"/>
      </w:pPr>
      <w:r>
        <w:t xml:space="preserve">Office 1204, Level 12, Dubai Internet City</w:t>
      </w:r>
    </w:p>
    <w:p>
      <w:pPr>
        <w:pStyle w:val="BodyText"/>
      </w:pPr>
      <w:r>
        <w:t xml:space="preserve">Sheikh Zayed Road, Dubai, United Arab Emirates</w:t>
      </w:r>
    </w:p>
    <w:p>
      <w:pPr>
        <w:pStyle w:val="BodyText"/>
      </w:pPr>
      <w:r>
        <w:t xml:space="preserve">Email: f.almansoori@research-dubae.ae</w:t>
      </w:r>
    </w:p>
    <w:p>
      <w:pPr>
        <w:pStyle w:val="BodyText"/>
      </w:pPr>
      <w:r>
        <w:t xml:space="preserve">Phone: +971 4 555 8821</w:t>
      </w:r>
    </w:p>
    <w:p>
      <w:pPr>
        <w:pStyle w:val="BodyText"/>
      </w:pPr>
      <w:r>
        <w:t xml:space="preserve">TRN: 100456789000003</w:t>
      </w:r>
    </w:p>
    <w:p>
      <w:pPr>
        <w:pStyle w:val="BodyText"/>
      </w:pPr>
      <w:r>
        <w:t xml:space="preserve">Free Zone License: DED-2024-78451</w:t>
      </w:r>
    </w:p>
    <w:bookmarkEnd w:id="21"/>
    <w:bookmarkStart w:id="22" w:name="billed-to-client"/>
    <w:p>
      <w:pPr>
        <w:pStyle w:val="Heading3"/>
      </w:pPr>
      <w:r>
        <w:t xml:space="preserve">Billed To (Client)</w:t>
      </w:r>
    </w:p>
    <w:p>
      <w:pPr>
        <w:pStyle w:val="FirstParagraph"/>
      </w:pPr>
      <w:r>
        <w:rPr>
          <w:bCs/>
          <w:b/>
        </w:rPr>
        <w:t xml:space="preserve">Emirates Advanced Research Institute</w:t>
      </w:r>
    </w:p>
    <w:p>
      <w:pPr>
        <w:pStyle w:val="BodyText"/>
      </w:pPr>
      <w:r>
        <w:t xml:space="preserve">Attn: Prof. Khalid Al Rashid, Director of Research</w:t>
      </w:r>
    </w:p>
    <w:p>
      <w:pPr>
        <w:pStyle w:val="BodyText"/>
      </w:pPr>
      <w:r>
        <w:t xml:space="preserve">Building 7, Academic Tower, Dubai Academic City</w:t>
      </w:r>
    </w:p>
    <w:p>
      <w:pPr>
        <w:pStyle w:val="BodyText"/>
      </w:pPr>
      <w:r>
        <w:t xml:space="preserve">Dubai, United Arab Emirates</w:t>
      </w:r>
    </w:p>
    <w:p>
      <w:pPr>
        <w:pStyle w:val="BodyText"/>
      </w:pPr>
      <w:r>
        <w:t xml:space="preserve">Email: procurement@eari-dubai.ac.ae</w:t>
      </w:r>
    </w:p>
    <w:p>
      <w:pPr>
        <w:pStyle w:val="BodyText"/>
      </w:pPr>
      <w:r>
        <w:t xml:space="preserve">Phone: +971 4 330 1199</w:t>
      </w:r>
    </w:p>
    <w:p>
      <w:pPr>
        <w:pStyle w:val="BodyText"/>
      </w:pPr>
      <w:r>
        <w:t xml:space="preserve">VAT Registration: 100987654000005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Period</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Conducting a comprehensive literature review and systematic meta-analysis on renewable energy adoption strategies in the Gulf Cooperation Council region, including peer-reviewed journal publication support.</w:t>
            </w:r>
          </w:p>
        </w:tc>
        <w:tc>
          <w:tcPr/>
          <w:p>
            <w:pPr>
              <w:pStyle w:val="Compact"/>
              <w:jc w:val="left"/>
            </w:pPr>
            <w:r>
              <w:t xml:space="preserve">Jan–Mar 2025</w:t>
            </w:r>
          </w:p>
        </w:tc>
        <w:tc>
          <w:tcPr/>
          <w:p>
            <w:pPr>
              <w:pStyle w:val="Compact"/>
              <w:jc w:val="left"/>
            </w:pPr>
            <w:r>
              <w:t xml:space="preserve">12,500.00</w:t>
            </w:r>
          </w:p>
        </w:tc>
        <w:tc>
          <w:tcPr/>
          <w:p>
            <w:pPr>
              <w:pStyle w:val="Compact"/>
              <w:jc w:val="left"/>
            </w:pPr>
            <w:r>
              <w:t xml:space="preserve">3</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Designing and executing quantitative survey research (n=1,200 respondents) on academic workforce development in higher education institutions across Dubai, including data collection, statistical modelling, and interpretive analysis.</w:t>
            </w:r>
          </w:p>
        </w:tc>
        <w:tc>
          <w:tcPr/>
          <w:p>
            <w:pPr>
              <w:pStyle w:val="Compact"/>
              <w:jc w:val="left"/>
            </w:pPr>
            <w:r>
              <w:t xml:space="preserve">Feb–Apr 2025</w:t>
            </w:r>
          </w:p>
        </w:tc>
        <w:tc>
          <w:tcPr/>
          <w:p>
            <w:pPr>
              <w:pStyle w:val="Compact"/>
              <w:jc w:val="left"/>
            </w:pPr>
            <w:r>
              <w:t xml:space="preserve">18,000.00</w:t>
            </w:r>
          </w:p>
        </w:tc>
        <w:tc>
          <w:tcPr/>
          <w:p>
            <w:pPr>
              <w:pStyle w:val="Compact"/>
              <w:jc w:val="left"/>
            </w:pPr>
            <w:r>
              <w:t xml:space="preserve">2</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Authorship and co-authorship of two peer-reviewed research papers for submission to Q1 international journals, including drafting, revision, and editorial coordination for the Academic Researcher engagement.</w:t>
            </w:r>
          </w:p>
        </w:tc>
        <w:tc>
          <w:tcPr/>
          <w:p>
            <w:pPr>
              <w:pStyle w:val="Compact"/>
              <w:jc w:val="left"/>
            </w:pPr>
            <w:r>
              <w:t xml:space="preserve">Mar–May 2025</w:t>
            </w:r>
          </w:p>
        </w:tc>
        <w:tc>
          <w:tcPr/>
          <w:p>
            <w:pPr>
              <w:pStyle w:val="Compact"/>
              <w:jc w:val="left"/>
            </w:pPr>
            <w:r>
              <w:t xml:space="preserve">9,500.00</w:t>
            </w:r>
          </w:p>
        </w:tc>
        <w:tc>
          <w:tcPr/>
          <w:p>
            <w:pPr>
              <w:pStyle w:val="Compact"/>
              <w:jc w:val="left"/>
            </w:pPr>
            <w:r>
              <w:t xml:space="preserve">2</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Delivery of a 45-minute keynote research presentation at the Dubai International Academic Conference 2025, including preparation of visual materials, Q&amp;A session facilitation, and post-conference report.</w:t>
            </w:r>
          </w:p>
        </w:tc>
        <w:tc>
          <w:tcPr/>
          <w:p>
            <w:pPr>
              <w:pStyle w:val="Compact"/>
              <w:jc w:val="left"/>
            </w:pPr>
            <w:r>
              <w:t xml:space="preserve">Apr 2025</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Providing expert academic peer review services for three grant proposals submitted to the Dubai Research Innovation Council, including methodological assessment, feasibility evaluation, and written recommendations.</w:t>
            </w:r>
          </w:p>
        </w:tc>
        <w:tc>
          <w:tcPr/>
          <w:p>
            <w:pPr>
              <w:pStyle w:val="Compact"/>
              <w:jc w:val="left"/>
            </w:pPr>
            <w:r>
              <w:t xml:space="preserve">May 2025</w:t>
            </w:r>
          </w:p>
        </w:tc>
        <w:tc>
          <w:tcPr/>
          <w:p>
            <w:pPr>
              <w:pStyle w:val="Compact"/>
              <w:jc w:val="left"/>
            </w:pPr>
            <w:r>
              <w:t xml:space="preserve">4,200.00</w:t>
            </w:r>
          </w:p>
        </w:tc>
        <w:tc>
          <w:tcPr/>
          <w:p>
            <w:pPr>
              <w:pStyle w:val="Compact"/>
              <w:jc w:val="left"/>
            </w:pPr>
            <w:r>
              <w:t xml:space="preserve">3</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Supervisory and mentoring support for two postgraduate research students affiliated with the client institution, covering research methodology guidance, thesis chapter reviews, and academic writing workshops held in Dubai.</w:t>
            </w:r>
          </w:p>
        </w:tc>
        <w:tc>
          <w:tcPr/>
          <w:p>
            <w:pPr>
              <w:pStyle w:val="Compact"/>
              <w:jc w:val="left"/>
            </w:pPr>
            <w:r>
              <w:t xml:space="preserve">Jan–Jun 2025</w:t>
            </w:r>
          </w:p>
        </w:tc>
        <w:tc>
          <w:tcPr/>
          <w:p>
            <w:pPr>
              <w:pStyle w:val="Compact"/>
              <w:jc w:val="left"/>
            </w:pPr>
            <w:r>
              <w:t xml:space="preserve">5,000.00</w:t>
            </w:r>
          </w:p>
        </w:tc>
        <w:tc>
          <w:tcPr/>
          <w:p>
            <w:pPr>
              <w:pStyle w:val="Compact"/>
              <w:jc w:val="left"/>
            </w:pPr>
            <w:r>
              <w:t xml:space="preserve">6</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142,600.00</w:t>
            </w:r>
          </w:p>
        </w:tc>
      </w:tr>
      <w:tr>
        <w:tc>
          <w:tcPr/>
          <w:p>
            <w:pPr>
              <w:pStyle w:val="Compact"/>
              <w:jc w:val="left"/>
            </w:pPr>
            <w:r>
              <w:t xml:space="preserve">VAT @ 5% (United Arab Emirates)</w:t>
            </w:r>
          </w:p>
        </w:tc>
        <w:tc>
          <w:tcPr/>
          <w:p>
            <w:pPr>
              <w:pStyle w:val="Compact"/>
              <w:jc w:val="right"/>
            </w:pPr>
            <w:r>
              <w:t xml:space="preserve">7,130.00</w:t>
            </w:r>
          </w:p>
        </w:tc>
      </w:tr>
      <w:tr>
        <w:tc>
          <w:tcPr/>
          <w:p>
            <w:pPr>
              <w:pStyle w:val="Compact"/>
              <w:jc w:val="left"/>
            </w:pPr>
            <w:r>
              <w:t xml:space="preserve">Discount — Academic Partnership Rate</w:t>
            </w:r>
          </w:p>
        </w:tc>
        <w:tc>
          <w:tcPr/>
          <w:p>
            <w:pPr>
              <w:pStyle w:val="Compact"/>
              <w:jc w:val="right"/>
            </w:pPr>
            <w:r>
              <w:t xml:space="preserve">(3,500.00)</w:t>
            </w:r>
          </w:p>
        </w:tc>
      </w:tr>
      <w:tr>
        <w:tc>
          <w:tcPr/>
          <w:p>
            <w:pPr>
              <w:pStyle w:val="Compact"/>
              <w:jc w:val="left"/>
            </w:pPr>
            <w:r>
              <w:t xml:space="preserve">Grand Total Due (AED)</w:t>
            </w:r>
          </w:p>
        </w:tc>
        <w:tc>
          <w:tcPr/>
          <w:p>
            <w:pPr>
              <w:pStyle w:val="Compact"/>
              <w:jc w:val="right"/>
            </w:pPr>
            <w:r>
              <w:t xml:space="preserve">146,230.00</w:t>
            </w:r>
          </w:p>
        </w:tc>
      </w:tr>
    </w:tbl>
    <w:bookmarkStart w:id="23" w:name="invoice-notes-payment-instructions"/>
    <w:p>
      <w:pPr>
        <w:pStyle w:val="Heading4"/>
      </w:pPr>
      <w:r>
        <w:t xml:space="preserve">Invoice Notes &amp; Payment Instructions</w:t>
      </w:r>
    </w:p>
    <w:p>
      <w:pPr>
        <w:numPr>
          <w:ilvl w:val="0"/>
          <w:numId w:val="1001"/>
        </w:numPr>
        <w:pStyle w:val="Compact"/>
      </w:pPr>
      <w:r>
        <w:t xml:space="preserve">This Invoice is issued by an independent Academic Researcher operating under a valid Dubai Economic Department (DED) trade license and is subject to the Federal Tax Authority (FTA) regulations of the United Arab Emirates.</w:t>
      </w:r>
    </w:p>
    <w:p>
      <w:pPr>
        <w:numPr>
          <w:ilvl w:val="0"/>
          <w:numId w:val="1001"/>
        </w:numPr>
        <w:pStyle w:val="Compact"/>
      </w:pPr>
      <w:r>
        <w:t xml:space="preserve">Payment is to be made via bank transfer to: Emirates NBD Bank, Account Name: Dr. Fatima Al Mansoori, IBAN: AE07 0240 0000 0000 1234 5678 9, SWIFT: EMRAAEAE. Please reference Invoice Number INV-DXB-2025-04871 in the transfer remarks.</w:t>
      </w:r>
    </w:p>
    <w:p>
      <w:pPr>
        <w:numPr>
          <w:ilvl w:val="0"/>
          <w:numId w:val="1001"/>
        </w:numPr>
        <w:pStyle w:val="Compact"/>
      </w:pPr>
      <w:r>
        <w:t xml:space="preserve">All research deliverables, including manuscripts, datasets, and presentation materials, remain the intellectual property of the Academic Researcher unless otherwise stipulated in the signed Service Agreement dated 05 January 2025.</w:t>
      </w:r>
    </w:p>
    <w:p>
      <w:pPr>
        <w:numPr>
          <w:ilvl w:val="0"/>
          <w:numId w:val="1001"/>
        </w:numPr>
        <w:pStyle w:val="Compact"/>
      </w:pPr>
      <w:r>
        <w:t xml:space="preserve">Any late payment beyond the 15-day Net terms will incur a penalty of 2% per month in accordance with UAE commercial law and the terms of the engagement contract.</w:t>
      </w:r>
    </w:p>
    <w:p>
      <w:pPr>
        <w:numPr>
          <w:ilvl w:val="0"/>
          <w:numId w:val="1001"/>
        </w:numPr>
        <w:pStyle w:val="Compact"/>
      </w:pPr>
      <w:r>
        <w:t xml:space="preserve">This Invoice is valid for 90 days from the date of issue. Please contact the undersigned Academic Researcher for any queries regarding line items, deliverable scope, or VAT documentation.</w:t>
      </w:r>
    </w:p>
    <w:bookmarkEnd w:id="23"/>
    <w:bookmarkStart w:id="24" w:name="terms-conditions"/>
    <w:p>
      <w:pPr>
        <w:pStyle w:val="Heading4"/>
      </w:pPr>
      <w:r>
        <w:t xml:space="preserve">Terms &amp; Conditions</w:t>
      </w:r>
    </w:p>
    <w:p>
      <w:pPr>
        <w:pStyle w:val="FirstParagraph"/>
      </w:pPr>
      <w:r>
        <w:t xml:space="preserve">This Invoice constitutes a formal request for payment for professional academic research services rendered in the United Arab Emirates, specifically within the emirate of Dubai. The Academic Researcher warrants that all services described herein were performed in accordance with the highest standards of academic integrity, ethical research conduct, and applicable UAE legislation. The client acknowledges that the scope of work, deliverables, and timelines were mutually agreed upon in the master service agreement. Disputes arising from this Invoice shall be resolved through the Dubai Courts or, at the client's election, through arbitration administered by the Dubai International Arbitration Centre (DIAC). This document is governed by the laws of the United Arab Emirates. No part of this Invoice may be reproduced or distributed without the prior written consent of the issuing Academic Researcher.</w:t>
      </w:r>
    </w:p>
    <w:bookmarkEnd w:id="24"/>
    <w:p>
      <w:pPr>
        <w:pStyle w:val="BodyText"/>
      </w:pPr>
      <w:r>
        <w:t xml:space="preserve">Invoice INV-DXB-2025-04871 — Academic Researcher Services — United Arab Emirates, Dubai</w:t>
      </w:r>
    </w:p>
    <w:p>
      <w:pPr>
        <w:pStyle w:val="BodyText"/>
      </w:pPr>
      <w:r>
        <w:t xml:space="preserve">Generated on 15 June 2025 | Page 1 of 1 | 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United Arab Emirates Dubai</dc:title>
  <dc:creator/>
  <dc:language>en</dc:language>
  <cp:keywords/>
  <dcterms:created xsi:type="dcterms:W3CDTF">2026-10-10T07:03:31Z</dcterms:created>
  <dcterms:modified xsi:type="dcterms:W3CDTF">2026-10-10T07:03:31Z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