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Invoice</w:t>
      </w:r>
    </w:p>
    <w:p>
      <w:pPr>
        <w:pStyle w:val="BodyText"/>
      </w:pPr>
      <w:r>
        <w:t xml:space="preserve">Professional Academic Research Services</w:t>
      </w:r>
    </w:p>
    <w:p>
      <w:pPr>
        <w:pStyle w:val="BodyText"/>
      </w:pPr>
      <w:r>
        <w:rPr>
          <w:bCs/>
          <w:b/>
        </w:rPr>
        <w:t xml:space="preserve">Invoice Number:</w:t>
      </w:r>
      <w:r>
        <w:t xml:space="preserve"> </w:t>
      </w:r>
      <w:r>
        <w:t xml:space="preserve">INV-2025-LDN-0047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GBP (£)</w:t>
      </w:r>
    </w:p>
    <w:bookmarkStart w:id="20" w:name="from-service-provider"/>
    <w:p>
      <w:pPr>
        <w:pStyle w:val="Heading3"/>
      </w:pPr>
      <w:r>
        <w:t xml:space="preserve">From (Service Provider)</w:t>
      </w:r>
    </w:p>
    <w:p>
      <w:pPr>
        <w:pStyle w:val="FirstParagraph"/>
      </w:pPr>
      <w:r>
        <w:rPr>
          <w:bCs/>
          <w:b/>
        </w:rPr>
        <w:t xml:space="preserve">Dr. Eleanor M. Whitfield, PhD</w:t>
      </w:r>
    </w:p>
    <w:p>
      <w:pPr>
        <w:pStyle w:val="BodyText"/>
      </w:pPr>
      <w:r>
        <w:t xml:space="preserve">Academic Researcher &amp; Independent Scholar</w:t>
      </w:r>
    </w:p>
    <w:p>
      <w:pPr>
        <w:pStyle w:val="BodyText"/>
      </w:pPr>
      <w:r>
        <w:t xml:space="preserve">Department of Social Sciences</w:t>
      </w:r>
    </w:p>
    <w:p>
      <w:pPr>
        <w:pStyle w:val="BodyText"/>
      </w:pPr>
      <w:r>
        <w:t xml:space="preserve">12 King's College Road</w:t>
      </w:r>
    </w:p>
    <w:p>
      <w:pPr>
        <w:pStyle w:val="BodyText"/>
      </w:pPr>
      <w:r>
        <w:t xml:space="preserve">London, United Kingdom</w:t>
      </w:r>
    </w:p>
    <w:p>
      <w:pPr>
        <w:pStyle w:val="BodyText"/>
      </w:pPr>
      <w:r>
        <w:t xml:space="preserve">SW5 9NJ</w:t>
      </w:r>
    </w:p>
    <w:p>
      <w:pPr>
        <w:pStyle w:val="BodyText"/>
      </w:pPr>
      <w:r>
        <w:t xml:space="preserve">Email: e.whitfield@academicresearch.co.uk</w:t>
      </w:r>
    </w:p>
    <w:p>
      <w:pPr>
        <w:pStyle w:val="BodyText"/>
      </w:pPr>
      <w:r>
        <w:t xml:space="preserve">Telephone: +44 (0)20 7946 0821</w:t>
      </w:r>
    </w:p>
    <w:p>
      <w:pPr>
        <w:pStyle w:val="BodyText"/>
      </w:pPr>
      <w:r>
        <w:t xml:space="preserve">VAT Registration: GB 987654321</w:t>
      </w:r>
    </w:p>
    <w:bookmarkEnd w:id="20"/>
    <w:bookmarkStart w:id="21" w:name="billed-to-client"/>
    <w:p>
      <w:pPr>
        <w:pStyle w:val="Heading3"/>
      </w:pPr>
      <w:r>
        <w:t xml:space="preserve">Billed To (Client)</w:t>
      </w:r>
    </w:p>
    <w:p>
      <w:pPr>
        <w:pStyle w:val="FirstParagraph"/>
      </w:pPr>
      <w:r>
        <w:rPr>
          <w:bCs/>
          <w:b/>
        </w:rPr>
        <w:t xml:space="preserve">Meridian Policy Institute</w:t>
      </w:r>
    </w:p>
    <w:p>
      <w:pPr>
        <w:pStyle w:val="BodyText"/>
      </w:pPr>
      <w:r>
        <w:t xml:space="preserve">Attn: Dr. James Okafor, Director of Research</w:t>
      </w:r>
    </w:p>
    <w:p>
      <w:pPr>
        <w:pStyle w:val="BodyText"/>
      </w:pPr>
      <w:r>
        <w:t xml:space="preserve">48 Whitehall Place</w:t>
      </w:r>
    </w:p>
    <w:p>
      <w:pPr>
        <w:pStyle w:val="BodyText"/>
      </w:pPr>
      <w:r>
        <w:t xml:space="preserve">London, United Kingdom</w:t>
      </w:r>
    </w:p>
    <w:p>
      <w:pPr>
        <w:pStyle w:val="BodyText"/>
      </w:pPr>
      <w:r>
        <w:t xml:space="preserve">SW1A 2AS</w:t>
      </w:r>
    </w:p>
    <w:p>
      <w:pPr>
        <w:pStyle w:val="BodyText"/>
      </w:pPr>
      <w:r>
        <w:t xml:space="preserve">Email: j.okafor@meridianpolicy.org.uk</w:t>
      </w:r>
    </w:p>
    <w:p>
      <w:pPr>
        <w:pStyle w:val="BodyText"/>
      </w:pPr>
      <w:r>
        <w:t xml:space="preserve">Telephone: +44 (0)20 7837 4456</w:t>
      </w:r>
    </w:p>
    <w:bookmarkEnd w:id="21"/>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Comprehensive literature review and systematic analysis of peer-reviewed publications pertaining to urban policy reform in the United Kingdom London metropolitan area. Includes identification of 120+ relevant sources and synthesis of findings into a 25-page research brief.</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Design and execution of semi-structured interview protocol with 18 key stakeholders across London boroughs. The Academic Researcher conducted all interviews in person throughout the United Kingdom London region, transcribed responses, and performed thematic coding analysis.</w:t>
            </w:r>
          </w:p>
        </w:tc>
        <w:tc>
          <w:tcPr/>
          <w:p>
            <w:pPr>
              <w:pStyle w:val="Compact"/>
              <w:jc w:val="left"/>
            </w:pPr>
            <w:r>
              <w:t xml:space="preserve">5 weeks</w:t>
            </w:r>
          </w:p>
        </w:tc>
        <w:tc>
          <w:tcPr/>
          <w:p>
            <w:pPr>
              <w:pStyle w:val="Compact"/>
              <w:jc w:val="left"/>
            </w:pPr>
            <w:r>
              <w:t xml:space="preserve">£1,450.00</w:t>
            </w:r>
          </w:p>
        </w:tc>
        <w:tc>
          <w:tcPr/>
          <w:p>
            <w:pPr>
              <w:pStyle w:val="Compact"/>
              <w:jc w:val="left"/>
            </w:pPr>
            <w:r>
              <w:t xml:space="preserve">£7,250.00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Quantitative data analysis of census and administrative datasets covering the London Borough of Camden, Islington, and Hackney. Statistical modelling performed using SPSS and R, including regression analysis and confidence interval estimation.</w:t>
            </w:r>
          </w:p>
        </w:tc>
        <w:tc>
          <w:tcPr/>
          <w:p>
            <w:pPr>
              <w:pStyle w:val="Compact"/>
              <w:jc w:val="left"/>
            </w:pPr>
            <w:r>
              <w:t xml:space="preserve">4 weeks</w:t>
            </w:r>
          </w:p>
        </w:tc>
        <w:tc>
          <w:tcPr/>
          <w:p>
            <w:pPr>
              <w:pStyle w:val="Compact"/>
              <w:jc w:val="left"/>
            </w:pPr>
            <w:r>
              <w:t xml:space="preserve">£1,100.00</w:t>
            </w:r>
          </w:p>
        </w:tc>
        <w:tc>
          <w:tcPr/>
          <w:p>
            <w:pPr>
              <w:pStyle w:val="Compact"/>
              <w:jc w:val="left"/>
            </w:pPr>
            <w:r>
              <w:t xml:space="preserve">£4,400.00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Preparation of a 45-page final research report suitable for submission to the Meridian Policy Institute board. The report includes executive summary, methodology, findings, policy recommendations, and full bibliography formatted to Harvard referencing standards.</w:t>
            </w:r>
          </w:p>
        </w:tc>
        <w:tc>
          <w:tcPr/>
          <w:p>
            <w:pPr>
              <w:pStyle w:val="Compact"/>
              <w:jc w:val="left"/>
            </w:pPr>
            <w:r>
              <w:t xml:space="preserve">3 weeks</w:t>
            </w:r>
          </w:p>
        </w:tc>
        <w:tc>
          <w:tcPr/>
          <w:p>
            <w:pPr>
              <w:pStyle w:val="Compact"/>
              <w:jc w:val="left"/>
            </w:pPr>
            <w:r>
              <w:t xml:space="preserve">£1,350.00</w:t>
            </w:r>
          </w:p>
        </w:tc>
        <w:tc>
          <w:tcPr/>
          <w:p>
            <w:pPr>
              <w:pStyle w:val="Compact"/>
              <w:jc w:val="left"/>
            </w:pPr>
            <w:r>
              <w:t xml:space="preserve">£4,050.00</w:t>
            </w:r>
          </w:p>
        </w:tc>
        <w:tc>
          <w:tcPr/>
          <w:p>
            <w:pPr>
              <w:pStyle w:val="Compact"/>
              <w:jc w:val="left"/>
            </w:pPr>
            <w:r>
              <w:t xml:space="preserve">£810.00</w:t>
            </w:r>
          </w:p>
        </w:tc>
      </w:tr>
      <w:tr>
        <w:tc>
          <w:tcPr/>
          <w:p>
            <w:pPr>
              <w:pStyle w:val="Compact"/>
              <w:jc w:val="left"/>
            </w:pPr>
            <w:r>
              <w:t xml:space="preserve">05</w:t>
            </w:r>
          </w:p>
        </w:tc>
        <w:tc>
          <w:tcPr/>
          <w:p>
            <w:pPr>
              <w:pStyle w:val="Compact"/>
              <w:jc w:val="left"/>
            </w:pPr>
            <w:r>
              <w:t xml:space="preserve">Delivery of a 90-minute presentation and Q&amp;A session to the Meridian Policy Institute senior leadership team at their offices in London, United Kingdom. Includes preparation of visual aids, slide deck, and supplementary handout materials.</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£190.00</w:t>
            </w:r>
          </w:p>
        </w:tc>
      </w:tr>
      <w:tr>
        <w:tc>
          <w:tcPr/>
          <w:p>
            <w:pPr>
              <w:pStyle w:val="Compact"/>
              <w:jc w:val="left"/>
            </w:pPr>
            <w:r>
              <w:t xml:space="preserve">06</w:t>
            </w:r>
          </w:p>
        </w:tc>
        <w:tc>
          <w:tcPr/>
          <w:p>
            <w:pPr>
              <w:pStyle w:val="Compact"/>
              <w:jc w:val="left"/>
            </w:pPr>
            <w:r>
              <w:t xml:space="preserve">Post-engagement support: two rounds of revisions to the final report based on client feedback, plus availability for a 30-minute telephone consultation to address follow-up queries regarding the research methodology and findings.</w:t>
            </w:r>
          </w:p>
        </w:tc>
        <w:tc>
          <w:tcPr/>
          <w:p>
            <w:pPr>
              <w:pStyle w:val="Compact"/>
              <w:jc w:val="left"/>
            </w:pPr>
            <w:r>
              <w:t xml:space="preserve">2 weeks</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£21,450.00</w:t>
            </w:r>
          </w:p>
        </w:tc>
      </w:tr>
      <w:tr>
        <w:tc>
          <w:tcPr/>
          <w:p>
            <w:pPr>
              <w:pStyle w:val="Compact"/>
              <w:jc w:val="left"/>
            </w:pPr>
            <w:r>
              <w:t xml:space="preserve">VAT @ 20%</w:t>
            </w:r>
          </w:p>
        </w:tc>
        <w:tc>
          <w:tcPr/>
          <w:p>
            <w:pPr>
              <w:pStyle w:val="Compact"/>
              <w:jc w:val="right"/>
            </w:pPr>
            <w:r>
              <w:t xml:space="preserve">£4,290.00</w:t>
            </w:r>
          </w:p>
        </w:tc>
      </w:tr>
      <w:tr>
        <w:tc>
          <w:tcPr/>
          <w:p>
            <w:pPr>
              <w:pStyle w:val="Compact"/>
              <w:jc w:val="left"/>
            </w:pPr>
            <w:r>
              <w:t xml:space="preserve">Total Amount Due</w:t>
            </w:r>
          </w:p>
        </w:tc>
        <w:tc>
          <w:tcPr/>
          <w:p>
            <w:pPr>
              <w:pStyle w:val="Compact"/>
              <w:jc w:val="right"/>
            </w:pPr>
            <w:r>
              <w:t xml:space="preserve">£25,740.00</w:t>
            </w:r>
          </w:p>
        </w:tc>
      </w:tr>
    </w:tbl>
    <w:p>
      <w:pPr>
        <w:pStyle w:val="BodyText"/>
      </w:pPr>
      <w:r>
        <w:t xml:space="preserve">All amounts are stated in British Pounds Sterling (GBP). VAT is charged at the standard rate of 20% in accordance with HM Revenue &amp; Customs regulations applicable in the United Kingdom.</w:t>
      </w:r>
    </w:p>
    <w:bookmarkStart w:id="22" w:name="payment-instructions-terms"/>
    <w:p>
      <w:pPr>
        <w:pStyle w:val="Heading3"/>
      </w:pPr>
      <w:r>
        <w:t xml:space="preserve">Payment Instructions &amp; Terms</w:t>
      </w:r>
    </w:p>
    <w:p>
      <w:pPr>
        <w:pStyle w:val="FirstParagraph"/>
      </w:pPr>
      <w:r>
        <w:t xml:space="preserve">This Invoice is payable within thirty (30) calendar days of the Invoice date stated above. Payment is to be made via bank transfer to the following account:</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Dr. Eleanor M. Whitfield – Academic Research Services</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55678901</w:t>
      </w:r>
    </w:p>
    <w:p>
      <w:pPr>
        <w:pStyle w:val="BodyText"/>
      </w:pPr>
      <w:r>
        <w:rPr>
          <w:bCs/>
          <w:b/>
        </w:rPr>
        <w:t xml:space="preserve">Reference:</w:t>
      </w:r>
      <w:r>
        <w:t xml:space="preserve"> </w:t>
      </w:r>
      <w:r>
        <w:t xml:space="preserve">INV-2025-LDN-0047</w:t>
      </w:r>
    </w:p>
    <w:p>
      <w:pPr>
        <w:pStyle w:val="BodyText"/>
      </w:pPr>
      <w:r>
        <w:t xml:space="preserve">Please note that a late payment interest charge of 4% above the Bank of England base rate will be applied to any outstanding balance beyond the due date, in accordance with the Late Payment of Commercial Debts (Interest) Act 1998 as applicable in the United Kingdom London jurisdiction.</w:t>
      </w:r>
    </w:p>
    <w:bookmarkEnd w:id="22"/>
    <w:bookmarkStart w:id="23" w:name="additional-notes-conditions"/>
    <w:p>
      <w:pPr>
        <w:pStyle w:val="Heading3"/>
      </w:pPr>
      <w:r>
        <w:t xml:space="preserve">Additional Notes &amp; Conditions</w:t>
      </w:r>
    </w:p>
    <w:p>
      <w:pPr>
        <w:pStyle w:val="FirstParagraph"/>
      </w:pPr>
      <w:r>
        <w:t xml:space="preserve">1. This Invoice has been issued by Dr. Eleanor M. Whitfield, an independent Academic Researcher operating from London, United Kingdom, under the terms of the Service Agreement dated 15 March 2025 (Reference: SPA-2025-0031) between the parties.</w:t>
      </w:r>
    </w:p>
    <w:p>
      <w:pPr>
        <w:pStyle w:val="BodyText"/>
      </w:pPr>
      <w:r>
        <w:t xml:space="preserve">2. All research data, interview transcripts, and analytical outputs referenced in this Invoice remain the intellectual property of the Academic Researcher until full payment of the Invoice total has been received and confirmed in writing by the client.</w:t>
      </w:r>
    </w:p>
    <w:p>
      <w:pPr>
        <w:pStyle w:val="BodyText"/>
      </w:pPr>
      <w:r>
        <w:t xml:space="preserve">3. The findings and recommendations contained in the deliverables are provided for advisory and policy-informative purposes only and do not constitute legal, financial, or medical advice.</w:t>
      </w:r>
    </w:p>
    <w:p>
      <w:pPr>
        <w:pStyle w:val="BodyText"/>
      </w:pPr>
      <w:r>
        <w:t xml:space="preserve">4. Any disputes arising from this Invoice or the associated services shall be governed by the laws of England and Wales and shall be subject to the exclusive jurisdiction of the courts of London, United Kingdom.</w:t>
      </w:r>
    </w:p>
    <w:p>
      <w:pPr>
        <w:pStyle w:val="BodyText"/>
      </w:pPr>
      <w:r>
        <w:t xml:space="preserve">5. This Invoice is valid for a period of ninety (90) days from the date of issue. After this period, the client is requested to contact the Academic Researcher to confirm whether the Invoice remains outstanding or has been settled.</w:t>
      </w:r>
    </w:p>
    <w:p>
      <w:pPr>
        <w:pStyle w:val="BodyText"/>
      </w:pPr>
      <w:r>
        <w:t xml:space="preserve">6. The Academic Researcher confirms that all work described in this Invoice was conducted in full compliance with the UK Data Protection Act 2018 and the General Data Protection Regulation (GDPR) as retained in United Kingdom law.</w:t>
      </w:r>
    </w:p>
    <w:bookmarkEnd w:id="23"/>
    <w:p>
      <w:pPr>
        <w:pStyle w:val="BodyText"/>
      </w:pPr>
      <w:r>
        <w:rPr>
          <w:bCs/>
          <w:b/>
        </w:rPr>
        <w:t xml:space="preserve">Dr. Eleanor M. Whitfield, PhD</w:t>
      </w:r>
      <w:r>
        <w:t xml:space="preserve"> </w:t>
      </w:r>
      <w:r>
        <w:t xml:space="preserve">– Academic Researcher</w:t>
      </w:r>
    </w:p>
    <w:p>
      <w:pPr>
        <w:pStyle w:val="BodyText"/>
      </w:pPr>
      <w:r>
        <w:t xml:space="preserve">12 King's College Road, London, United Kingdom, SW5 9NJ</w:t>
      </w:r>
    </w:p>
    <w:p>
      <w:pPr>
        <w:pStyle w:val="BodyText"/>
      </w:pPr>
      <w:r>
        <w:t xml:space="preserve">VAT No: GB 987654321 | Registered in England &amp; Wales No. 09876543</w:t>
      </w:r>
    </w:p>
    <w:p>
      <w:pPr>
        <w:pStyle w:val="BodyText"/>
      </w:pPr>
      <w:r>
        <w:t xml:space="preserve">Thank you for your business. This Invoice was generated electronically and is valid without a physical signature.</w:t>
      </w:r>
    </w:p>
    <w:p>
      <w:pPr>
        <w:pStyle w:val="BodyText"/>
      </w:pPr>
      <w:r>
        <w:t xml:space="preserve">© 2025 Academic Research Services, London, United Kingdom.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United Kingdom London</dc:title>
  <dc:creator/>
  <dc:language>en-GB</dc:language>
  <cp:keywords/>
  <dcterms:created xsi:type="dcterms:W3CDTF">2026-10-10T03:18:10Z</dcterms:created>
  <dcterms:modified xsi:type="dcterms:W3CDTF">2026-10-10T03:18:10Z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