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Academic Researcher Services</w:t>
      </w:r>
    </w:p>
    <w:p>
      <w:pPr>
        <w:pStyle w:val="BodyText"/>
      </w:pPr>
      <w:r>
        <w:t xml:space="preserve">Miami, Florida, United States</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INV-2025-MIA-0487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1"/>
    <w:bookmarkStart w:id="22" w:name="from-service-provider"/>
    <w:p>
      <w:pPr>
        <w:pStyle w:val="Heading3"/>
      </w:pPr>
      <w:r>
        <w:t xml:space="preserve">From (Service Provider)</w:t>
      </w:r>
    </w:p>
    <w:p>
      <w:pPr>
        <w:pStyle w:val="FirstParagraph"/>
      </w:pPr>
      <w:r>
        <w:rPr>
          <w:bCs/>
          <w:b/>
        </w:rPr>
        <w:t xml:space="preserve">Dr. Elena M. Castellanos</w:t>
      </w:r>
    </w:p>
    <w:p>
      <w:pPr>
        <w:pStyle w:val="BodyText"/>
      </w:pPr>
      <w:r>
        <w:t xml:space="preserve">Academic Researcher, Ph.D. in Comparative Literature</w:t>
      </w:r>
    </w:p>
    <w:p>
      <w:pPr>
        <w:pStyle w:val="BodyText"/>
      </w:pPr>
      <w:r>
        <w:t xml:space="preserve">Independent Research Consultant</w:t>
      </w:r>
    </w:p>
    <w:p>
      <w:pPr>
        <w:pStyle w:val="BodyText"/>
      </w:pPr>
      <w:r>
        <w:t xml:space="preserve">1200 Brickell Avenue, Suite 450</w:t>
      </w:r>
    </w:p>
    <w:p>
      <w:pPr>
        <w:pStyle w:val="BodyText"/>
      </w:pPr>
      <w:r>
        <w:t xml:space="preserve">Miami, FL 33131, United States</w:t>
      </w:r>
    </w:p>
    <w:p>
      <w:pPr>
        <w:pStyle w:val="BodyText"/>
      </w:pPr>
      <w:r>
        <w:t xml:space="preserve">Email: e.castellanos@researchmiami.com</w:t>
      </w:r>
    </w:p>
    <w:p>
      <w:pPr>
        <w:pStyle w:val="BodyText"/>
      </w:pPr>
      <w:r>
        <w:t xml:space="preserve">Phone: (305) 555-0192</w:t>
      </w:r>
    </w:p>
    <w:p>
      <w:pPr>
        <w:pStyle w:val="BodyText"/>
      </w:pPr>
      <w:r>
        <w:t xml:space="preserve">EIN: 82-4471903</w:t>
      </w:r>
    </w:p>
    <w:bookmarkEnd w:id="22"/>
    <w:bookmarkStart w:id="23" w:name="bill-to-client"/>
    <w:p>
      <w:pPr>
        <w:pStyle w:val="Heading3"/>
      </w:pPr>
      <w:r>
        <w:t xml:space="preserve">Bill To (Client)</w:t>
      </w:r>
    </w:p>
    <w:p>
      <w:pPr>
        <w:pStyle w:val="FirstParagraph"/>
      </w:pPr>
      <w:r>
        <w:rPr>
          <w:bCs/>
          <w:b/>
        </w:rPr>
        <w:t xml:space="preserve">University of Miami</w:t>
      </w:r>
    </w:p>
    <w:p>
      <w:pPr>
        <w:pStyle w:val="BodyText"/>
      </w:pPr>
      <w:r>
        <w:t xml:space="preserve">Office of Research Administration</w:t>
      </w:r>
    </w:p>
    <w:p>
      <w:pPr>
        <w:pStyle w:val="BodyText"/>
      </w:pPr>
      <w:r>
        <w:t xml:space="preserve">Attn: Dr. Robert T. Whitfield, Dean</w:t>
      </w:r>
    </w:p>
    <w:p>
      <w:pPr>
        <w:pStyle w:val="BodyText"/>
      </w:pPr>
      <w:r>
        <w:t xml:space="preserve">1420 University Drive</w:t>
      </w:r>
    </w:p>
    <w:p>
      <w:pPr>
        <w:pStyle w:val="BodyText"/>
      </w:pPr>
      <w:r>
        <w:t xml:space="preserve">Coral Gables, FL 33146, United States</w:t>
      </w:r>
    </w:p>
    <w:p>
      <w:pPr>
        <w:pStyle w:val="BodyText"/>
      </w:pPr>
      <w:r>
        <w:t xml:space="preserve">Email: research.admin@umiami.edu</w:t>
      </w:r>
    </w:p>
    <w:p>
      <w:pPr>
        <w:pStyle w:val="BodyText"/>
      </w:pPr>
      <w:r>
        <w:t xml:space="preserve">Phone: (305) 284-4000</w:t>
      </w:r>
    </w:p>
    <w:bookmarkEnd w:id="23"/>
    <w:bookmarkStart w:id="26" w:name="X65c49adee242fea53cd11cb03e43bd9d97b091f"/>
    <w:p>
      <w:pPr>
        <w:pStyle w:val="Heading2"/>
      </w:pPr>
      <w:r>
        <w:t xml:space="preserve">Description of Academic Researcher Services Rendered</w:t>
      </w:r>
    </w:p>
    <w:p>
      <w:pPr>
        <w:pStyle w:val="FirstParagraph"/>
      </w:pPr>
      <w:r>
        <w:t xml:space="preserve">The following Invoice documents the professional services provided by the undersigned Academic Researcher in the capacity of an independent consultant engaged by the University of Miami, located in Miami, United States. All services were performed in accordance with the contractual agreement dated March 1, 2025, and in compliance with all applicable federal and state regulations governing academic research engagements in the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literature review and bibliographic analysis for the Department of Comparative Literature, including synthesis of 200+ peer-reviewed sources on postcolonial narrative structures in Latin American and Caribbean literature.</w:t>
            </w:r>
          </w:p>
        </w:tc>
        <w:tc>
          <w:tcPr/>
          <w:p>
            <w:pPr>
              <w:pStyle w:val="Compact"/>
              <w:jc w:val="left"/>
            </w:pPr>
            <w:r>
              <w:t xml:space="preserve">Mar 10 – Apr 5,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Design and execution of qualitative research methodology, including semi-structured interviews with 15 subject-matter experts in Miami, United States, and subsequent thematic coding and analysis of collected data.</w:t>
            </w:r>
          </w:p>
        </w:tc>
        <w:tc>
          <w:tcPr/>
          <w:p>
            <w:pPr>
              <w:pStyle w:val="Compact"/>
              <w:jc w:val="left"/>
            </w:pPr>
            <w:r>
              <w:t xml:space="preserve">Apr 8 – May 2, 2025</w:t>
            </w:r>
          </w:p>
        </w:tc>
        <w:tc>
          <w:tcPr/>
          <w:p>
            <w:pPr>
              <w:pStyle w:val="Compact"/>
              <w:jc w:val="left"/>
            </w:pPr>
            <w:r>
              <w:t xml:space="preserve">96</w:t>
            </w:r>
          </w:p>
        </w:tc>
        <w:tc>
          <w:tcPr/>
          <w:p>
            <w:pPr>
              <w:pStyle w:val="Compact"/>
              <w:jc w:val="left"/>
            </w:pPr>
            <w:r>
              <w:t xml:space="preserve">$145.00</w:t>
            </w:r>
          </w:p>
        </w:tc>
        <w:tc>
          <w:tcPr/>
          <w:p>
            <w:pPr>
              <w:pStyle w:val="Compact"/>
              <w:jc w:val="left"/>
            </w:pPr>
            <w:r>
              <w:t xml:space="preserve">$13,920.00</w:t>
            </w:r>
          </w:p>
        </w:tc>
      </w:tr>
      <w:tr>
        <w:tc>
          <w:tcPr/>
          <w:p>
            <w:pPr>
              <w:pStyle w:val="Compact"/>
              <w:jc w:val="left"/>
            </w:pPr>
            <w:r>
              <w:t xml:space="preserve">3</w:t>
            </w:r>
          </w:p>
        </w:tc>
        <w:tc>
          <w:tcPr/>
          <w:p>
            <w:pPr>
              <w:pStyle w:val="Compact"/>
              <w:jc w:val="left"/>
            </w:pPr>
            <w:r>
              <w:t xml:space="preserve">Preparation of a 45-page draft research monograph for internal review by the University of Miami faculty senate, including statistical appendices, annotated bibliography, and recommended citations in APA 7th edition format.</w:t>
            </w:r>
          </w:p>
        </w:tc>
        <w:tc>
          <w:tcPr/>
          <w:p>
            <w:pPr>
              <w:pStyle w:val="Compact"/>
              <w:jc w:val="left"/>
            </w:pPr>
            <w:r>
              <w:t xml:space="preserve">May 5 – May 28,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Peer review and editorial consultation for three (3) journal articles submitted to the</w:t>
            </w:r>
            <w:r>
              <w:t xml:space="preserve"> </w:t>
            </w:r>
            <w:r>
              <w:rPr>
                <w:iCs/>
                <w:i/>
              </w:rPr>
              <w:t xml:space="preserve">Journal of Caribbean Studies</w:t>
            </w:r>
            <w:r>
              <w:t xml:space="preserve"> </w:t>
            </w:r>
            <w:r>
              <w:t xml:space="preserve">and the</w:t>
            </w:r>
            <w:r>
              <w:t xml:space="preserve"> </w:t>
            </w:r>
            <w:r>
              <w:rPr>
                <w:iCs/>
                <w:i/>
              </w:rPr>
              <w:t xml:space="preserve">Miami Review of Latin American Research</w:t>
            </w:r>
            <w:r>
              <w:t xml:space="preserve">, providing detailed feedback and revision recommendations.</w:t>
            </w:r>
          </w:p>
        </w:tc>
        <w:tc>
          <w:tcPr/>
          <w:p>
            <w:pPr>
              <w:pStyle w:val="Compact"/>
              <w:jc w:val="left"/>
            </w:pPr>
            <w:r>
              <w:t xml:space="preserve">May 30 – Jun 10,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5</w:t>
            </w:r>
          </w:p>
        </w:tc>
        <w:tc>
          <w:tcPr/>
          <w:p>
            <w:pPr>
              <w:pStyle w:val="Compact"/>
              <w:jc w:val="left"/>
            </w:pPr>
            <w:r>
              <w:t xml:space="preserve">Attendance and presentation at the Annual Miami Academic Research Symposium held at the Miami Convention Center, United States, including delivery of a 40-minute keynote address on emerging trends in digital humanities research.</w:t>
            </w:r>
          </w:p>
        </w:tc>
        <w:tc>
          <w:tcPr/>
          <w:p>
            <w:pPr>
              <w:pStyle w:val="Compact"/>
              <w:jc w:val="left"/>
            </w:pPr>
            <w:r>
              <w:t xml:space="preserve">Jun 12, 2025</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6</w:t>
            </w:r>
          </w:p>
        </w:tc>
        <w:tc>
          <w:tcPr/>
          <w:p>
            <w:pPr>
              <w:pStyle w:val="Compact"/>
              <w:jc w:val="left"/>
            </w:pPr>
            <w:r>
              <w:t xml:space="preserve">Reimbursement of approved research materials, archival access fees at the Miami-Dade Public Library Special Collections, and interlibrary loan charges incurred during the research period.</w:t>
            </w:r>
          </w:p>
        </w:tc>
        <w:tc>
          <w:tcPr/>
          <w:p>
            <w:pPr>
              <w:pStyle w:val="Compact"/>
              <w:jc w:val="left"/>
            </w:pPr>
            <w:r>
              <w:t xml:space="preserve">Mar – Jun 2025</w:t>
            </w:r>
          </w:p>
        </w:tc>
        <w:tc>
          <w:tcPr/>
          <w:p>
            <w:pPr>
              <w:pStyle w:val="Compact"/>
              <w:jc w:val="left"/>
            </w:pPr>
            <w:r>
              <w:t xml:space="preserve">N/A</w:t>
            </w:r>
          </w:p>
        </w:tc>
        <w:tc>
          <w:tcPr/>
          <w:p>
            <w:pPr>
              <w:pStyle w:val="Compact"/>
              <w:jc w:val="left"/>
            </w:pPr>
            <w:r>
              <w:t xml:space="preserve">Flat Fee</w:t>
            </w:r>
          </w:p>
        </w:tc>
        <w:tc>
          <w:tcPr/>
          <w:p>
            <w:pPr>
              <w:pStyle w:val="Compact"/>
              <w:jc w:val="left"/>
            </w:pPr>
            <w:r>
              <w:t xml:space="preserve">$1,285.00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$49,005.00</w:t>
            </w:r>
          </w:p>
        </w:tc>
      </w:tr>
      <w:tr>
        <w:tc>
          <w:tcPr/>
          <w:p>
            <w:pPr>
              <w:pStyle w:val="Compact"/>
              <w:jc w:val="left"/>
            </w:pPr>
            <w:r>
              <w:t xml:space="preserve">Florida State Sales Tax (7.0%)</w:t>
            </w:r>
          </w:p>
        </w:tc>
        <w:tc>
          <w:tcPr/>
          <w:p>
            <w:pPr>
              <w:pStyle w:val="Compact"/>
              <w:jc w:val="right"/>
            </w:pPr>
            <w:r>
              <w:t xml:space="preserve">$3,430.35</w:t>
            </w:r>
          </w:p>
        </w:tc>
      </w:tr>
      <w:tr>
        <w:tc>
          <w:tcPr/>
          <w:p>
            <w:pPr>
              <w:pStyle w:val="Compact"/>
              <w:jc w:val="left"/>
            </w:pPr>
            <w:r>
              <w:t xml:space="preserve">Miami-Dade County Surcharge (1.0%)</w:t>
            </w:r>
          </w:p>
        </w:tc>
        <w:tc>
          <w:tcPr/>
          <w:p>
            <w:pPr>
              <w:pStyle w:val="Compact"/>
              <w:jc w:val="right"/>
            </w:pPr>
            <w:r>
              <w:t xml:space="preserve">$490.05</w:t>
            </w:r>
          </w:p>
        </w:tc>
      </w:tr>
      <w:tr>
        <w:tc>
          <w:tcPr/>
          <w:p>
            <w:pPr>
              <w:pStyle w:val="Compact"/>
              <w:jc w:val="left"/>
            </w:pPr>
            <w:r>
              <w:t xml:space="preserve">Early Payment Discount (2% if paid before Jul 1, 2025)</w:t>
            </w:r>
          </w:p>
        </w:tc>
        <w:tc>
          <w:tcPr/>
          <w:p>
            <w:pPr>
              <w:pStyle w:val="Compact"/>
              <w:jc w:val="right"/>
            </w:pPr>
            <w:r>
              <w:t xml:space="preserve">-$980.10</w:t>
            </w:r>
          </w:p>
        </w:tc>
      </w:tr>
      <w:tr>
        <w:tc>
          <w:tcPr/>
          <w:p>
            <w:pPr>
              <w:pStyle w:val="Compact"/>
              <w:jc w:val="left"/>
            </w:pPr>
            <w:r>
              <w:t xml:space="preserve">Grand Total Due</w:t>
            </w:r>
          </w:p>
        </w:tc>
        <w:tc>
          <w:tcPr/>
          <w:p>
            <w:pPr>
              <w:pStyle w:val="Compact"/>
              <w:jc w:val="right"/>
            </w:pPr>
            <w:r>
              <w:t xml:space="preserve">$51,945.30</w:t>
            </w:r>
          </w:p>
        </w:tc>
      </w:tr>
    </w:tbl>
    <w:bookmarkStart w:id="24" w:name="payment-instructions"/>
    <w:p>
      <w:pPr>
        <w:pStyle w:val="Heading3"/>
      </w:pPr>
      <w:r>
        <w:t xml:space="preserve">Payment Instructions</w:t>
      </w:r>
    </w:p>
    <w:p>
      <w:pPr>
        <w:pStyle w:val="FirstParagraph"/>
      </w:pPr>
      <w:r>
        <w:t xml:space="preserve">This Invoice must be settled in United States Dollars (USD) via one of the following methods:</w:t>
      </w:r>
    </w:p>
    <w:p>
      <w:pPr>
        <w:pStyle w:val="BodyText"/>
      </w:pPr>
      <w:r>
        <w:rPr>
          <w:bCs/>
          <w:b/>
        </w:rPr>
        <w:t xml:space="preserve">Bank Wire Transfer:</w:t>
      </w:r>
      <w:r>
        <w:t xml:space="preserve"> </w:t>
      </w:r>
      <w:r>
        <w:t xml:space="preserve">First National Bank of Miami, United States | Routing Number: 021000021 | Account Number: 4482-7719-003 | Beneficiary: Dr. Elena M. Castellanos | Reference: INV-2025-MIA-0487</w:t>
      </w:r>
    </w:p>
    <w:p>
      <w:pPr>
        <w:pStyle w:val="BodyText"/>
      </w:pPr>
      <w:r>
        <w:rPr>
          <w:bCs/>
          <w:b/>
        </w:rPr>
        <w:t xml:space="preserve">Check:</w:t>
      </w:r>
      <w:r>
        <w:t xml:space="preserve"> </w:t>
      </w:r>
      <w:r>
        <w:t xml:space="preserve">Payable to "Dr. Elena M. Castellanos, Academic Researcher" and mailed to 1200 Brickell Avenue, Suite 450, Miami, FL 33131, United States.</w:t>
      </w:r>
    </w:p>
    <w:p>
      <w:pPr>
        <w:pStyle w:val="BodyText"/>
      </w:pPr>
      <w:r>
        <w:rPr>
          <w:bCs/>
          <w:b/>
        </w:rPr>
        <w:t xml:space="preserve">ACH Transfer:</w:t>
      </w:r>
      <w:r>
        <w:t xml:space="preserve"> </w:t>
      </w:r>
      <w:r>
        <w:t xml:space="preserve">Available upon written request to the billing office. Please allow 3–5 business days for processing.</w:t>
      </w:r>
    </w:p>
    <w:bookmarkEnd w:id="24"/>
    <w:bookmarkStart w:id="25" w:name="important-notes-and-terms"/>
    <w:p>
      <w:pPr>
        <w:pStyle w:val="Heading3"/>
      </w:pPr>
      <w:r>
        <w:t xml:space="preserve">Important Notes and Terms</w:t>
      </w:r>
    </w:p>
    <w:p>
      <w:pPr>
        <w:pStyle w:val="FirstParagraph"/>
      </w:pPr>
      <w:r>
        <w:t xml:space="preserve">1. This Invoice represents the final billing for all Academic Researcher services rendered under Contract No. UM-RES-2025-0312. No additional charges will be incurred beyond the amounts specified herein unless a written amendment to the original agreement is executed by both parties.</w:t>
      </w:r>
    </w:p>
    <w:p>
      <w:pPr>
        <w:pStyle w:val="BodyText"/>
      </w:pPr>
      <w:r>
        <w:t xml:space="preserve">2. The Academic Researcher, Dr. Elena M. Castellanos, retains all intellectual property rights to the underlying research methodology, analytical frameworks, and unpublished data generated during the engagement period. The University of Miami, Miami, United States, is granted a non-exclusive, perpetual license to reproduce and distribute the final monograph and associated publications for academic and institutional purposes.</w:t>
      </w:r>
    </w:p>
    <w:p>
      <w:pPr>
        <w:pStyle w:val="BodyText"/>
      </w:pPr>
      <w:r>
        <w:t xml:space="preserve">3. Payment is due within thirty (30) calendar days from the Invoice date of June 15, 2025. Late payments shall accrue interest at a rate of 1.5% per month, in accordance with Florida Statutes Chapter 559 and the terms of the governing contract. This Invoice is subject to the jurisdiction of the courts of Miami-Dade County, Florida, United States.</w:t>
      </w:r>
    </w:p>
    <w:p>
      <w:pPr>
        <w:pStyle w:val="BodyText"/>
      </w:pPr>
      <w:r>
        <w:t xml:space="preserve">4. All services described in this Invoice were performed in full compliance with the United States federal research integrity standards, the Florida Board of Education guidelines, and the institutional policies of the University of Miami. The Academic Researcher confirms that no conflicts of interest existed during the performance of these services.</w:t>
      </w:r>
    </w:p>
    <w:p>
      <w:pPr>
        <w:pStyle w:val="BodyText"/>
      </w:pPr>
      <w:r>
        <w:t xml:space="preserve">5. Please retain this Invoice for your institutional records. A duplicate copy may be requested by contacting the billing office at billing@researchmiami.com or by telephone at (305) 555-0192. This document serves as the official financial record of the transaction between the Academic Researcher and the University of Miami, Miami, United States.</w:t>
      </w:r>
    </w:p>
    <w:bookmarkEnd w:id="25"/>
    <w:p>
      <w:pPr>
        <w:pStyle w:val="BodyText"/>
      </w:pPr>
      <w:r>
        <w:rPr>
          <w:bCs/>
          <w:b/>
        </w:rPr>
        <w:t xml:space="preserve">Invoice</w:t>
      </w:r>
      <w:r>
        <w:t xml:space="preserve"> </w:t>
      </w:r>
      <w:r>
        <w:t xml:space="preserve">INV-2025-MIA-0487 | Issued by Dr. Elena M. Castellanos, Academic Researcher | Miami, Florida, United States</w:t>
      </w:r>
    </w:p>
    <w:p>
      <w:pPr>
        <w:pStyle w:val="BodyText"/>
      </w:pPr>
      <w:r>
        <w:t xml:space="preserve">This Invoice was generated electronically and is valid without a physical signature. For verification, contact the issuing office directly.</w:t>
      </w:r>
    </w:p>
    <w:p>
      <w:pPr>
        <w:pStyle w:val="BodyText"/>
      </w:pPr>
      <w:r>
        <w:t xml:space="preserve">© 2025 Castellanos Academic Research Consulting, LLC. All rights reserved. Registered in Miami, Florida,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Miami, United States</dc:title>
  <dc:creator/>
  <dc:language>en</dc:language>
  <cp:keywords/>
  <dcterms:created xsi:type="dcterms:W3CDTF">2026-10-10T03:51:37Z</dcterms:created>
  <dcterms:modified xsi:type="dcterms:W3CDTF">2026-10-10T03:51:37Z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