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Academic Researcher Services</w:t>
      </w:r>
    </w:p>
    <w:p>
      <w:pPr>
        <w:pStyle w:val="BodyText"/>
      </w:pPr>
      <w:r>
        <w:t xml:space="preserve">United States New York City — Metropolitan Research &amp; Consulting Division</w:t>
      </w:r>
    </w:p>
    <w:p>
      <w:pPr>
        <w:pStyle w:val="BodyText"/>
      </w:pPr>
      <w:r>
        <w:t xml:space="preserve">Official Invoice Document</w:t>
      </w:r>
    </w:p>
    <w:bookmarkEnd w:id="20"/>
    <w:bookmarkStart w:id="21" w:name="from-service-provider"/>
    <w:p>
      <w:pPr>
        <w:pStyle w:val="Heading3"/>
      </w:pPr>
      <w:r>
        <w:t xml:space="preserve">From (Service Provider)</w:t>
      </w:r>
    </w:p>
    <w:p>
      <w:pPr>
        <w:pStyle w:val="FirstParagraph"/>
      </w:pPr>
      <w:r>
        <w:rPr>
          <w:bCs/>
          <w:b/>
        </w:rPr>
        <w:t xml:space="preserve">Dr. Eleanor M. Whitfield, Ph.D.</w:t>
      </w:r>
    </w:p>
    <w:p>
      <w:pPr>
        <w:pStyle w:val="BodyText"/>
      </w:pPr>
      <w:r>
        <w:t xml:space="preserve">Academic Researcher — Senior Fellow</w:t>
      </w:r>
    </w:p>
    <w:p>
      <w:pPr>
        <w:pStyle w:val="BodyText"/>
      </w:pPr>
      <w:r>
        <w:t xml:space="preserve">Whitfield Research Associates LLC</w:t>
      </w:r>
    </w:p>
    <w:p>
      <w:pPr>
        <w:pStyle w:val="BodyText"/>
      </w:pPr>
      <w:r>
        <w:t xml:space="preserve">1285 Broadway, Suite 4200</w:t>
      </w:r>
    </w:p>
    <w:p>
      <w:pPr>
        <w:pStyle w:val="BodyText"/>
      </w:pPr>
      <w:r>
        <w:t xml:space="preserve">New York City, New York 10018</w:t>
      </w:r>
    </w:p>
    <w:p>
      <w:pPr>
        <w:pStyle w:val="BodyText"/>
      </w:pPr>
      <w:r>
        <w:t xml:space="preserve">United States</w:t>
      </w:r>
    </w:p>
    <w:p>
      <w:pPr>
        <w:pStyle w:val="BodyText"/>
      </w:pPr>
      <w:r>
        <w:t xml:space="preserve">Tel: (212) 555-0147</w:t>
      </w:r>
    </w:p>
    <w:p>
      <w:pPr>
        <w:pStyle w:val="BodyText"/>
      </w:pPr>
      <w:r>
        <w:t xml:space="preserve">Email: e.whitfield@whitfieldresearch.com</w:t>
      </w:r>
    </w:p>
    <w:p>
      <w:pPr>
        <w:pStyle w:val="BodyText"/>
      </w:pPr>
      <w:r>
        <w:t xml:space="preserve">EIN: 84-2937156</w:t>
      </w:r>
    </w:p>
    <w:bookmarkEnd w:id="21"/>
    <w:bookmarkStart w:id="22" w:name="billed-to-client"/>
    <w:p>
      <w:pPr>
        <w:pStyle w:val="Heading3"/>
      </w:pPr>
      <w:r>
        <w:t xml:space="preserve">Billed To (Client)</w:t>
      </w:r>
    </w:p>
    <w:p>
      <w:pPr>
        <w:pStyle w:val="FirstParagraph"/>
      </w:pPr>
      <w:r>
        <w:rPr>
          <w:bCs/>
          <w:b/>
        </w:rPr>
        <w:t xml:space="preserve">Meridian University Research Foundation</w:t>
      </w:r>
    </w:p>
    <w:p>
      <w:pPr>
        <w:pStyle w:val="BodyText"/>
      </w:pPr>
      <w:r>
        <w:t xml:space="preserve">Attn: Dr. James K. Thornton, Director of Grants</w:t>
      </w:r>
    </w:p>
    <w:p>
      <w:pPr>
        <w:pStyle w:val="BodyText"/>
      </w:pPr>
      <w:r>
        <w:t xml:space="preserve">210 East 42nd Street, Floor 12</w:t>
      </w:r>
    </w:p>
    <w:p>
      <w:pPr>
        <w:pStyle w:val="BodyText"/>
      </w:pPr>
      <w:r>
        <w:t xml:space="preserve">New York City, New York 10017</w:t>
      </w:r>
    </w:p>
    <w:p>
      <w:pPr>
        <w:pStyle w:val="BodyText"/>
      </w:pPr>
      <w:r>
        <w:t xml:space="preserve">United States</w:t>
      </w:r>
    </w:p>
    <w:p>
      <w:pPr>
        <w:pStyle w:val="BodyText"/>
      </w:pPr>
      <w:r>
        <w:t xml:space="preserve">Tel: (212) 555-0892</w:t>
      </w:r>
    </w:p>
    <w:p>
      <w:pPr>
        <w:pStyle w:val="BodyText"/>
      </w:pPr>
      <w:r>
        <w:t xml:space="preserve">Email: j.thornton@meridianresearch.org</w:t>
      </w:r>
    </w:p>
    <w:bookmarkEnd w:id="22"/>
    <w:p>
      <w:pPr>
        <w:pStyle w:val="BodyText"/>
      </w:pPr>
      <w:r>
        <w:t xml:space="preserve">Invoice Number</w:t>
      </w:r>
    </w:p>
    <w:p>
      <w:pPr>
        <w:pStyle w:val="BodyText"/>
      </w:pPr>
      <w:r>
        <w:t xml:space="preserve">WRA-2025-0047</w:t>
      </w:r>
    </w:p>
    <w:p>
      <w:pPr>
        <w:pStyle w:val="BodyText"/>
      </w:pPr>
      <w:r>
        <w:t xml:space="preserve">Invoice Date</w:t>
      </w:r>
    </w:p>
    <w:p>
      <w:pPr>
        <w:pStyle w:val="BodyText"/>
      </w:pPr>
      <w:r>
        <w:t xml:space="preserve">June 12, 2025</w:t>
      </w:r>
    </w:p>
    <w:p>
      <w:pPr>
        <w:pStyle w:val="BodyText"/>
      </w:pPr>
      <w:r>
        <w:t xml:space="preserve">Due Date</w:t>
      </w:r>
    </w:p>
    <w:p>
      <w:pPr>
        <w:pStyle w:val="BodyText"/>
      </w:pPr>
      <w:r>
        <w:t xml:space="preserve">July 12, 2025</w:t>
      </w:r>
    </w:p>
    <w:p>
      <w:pPr>
        <w:pStyle w:val="BodyText"/>
      </w:pPr>
      <w:r>
        <w:t xml:space="preserve">Payment Terms</w:t>
      </w:r>
    </w:p>
    <w:p>
      <w:pPr>
        <w:pStyle w:val="BodyText"/>
      </w:pPr>
      <w:r>
        <w:t xml:space="preserve">Net 30 Days</w:t>
      </w:r>
    </w:p>
    <w:p>
      <w:pPr>
        <w:pStyle w:val="BodyText"/>
      </w:pPr>
      <w:r>
        <w:t xml:space="preserve">Currency</w:t>
      </w:r>
    </w:p>
    <w:p>
      <w:pPr>
        <w:pStyle w:val="BodyText"/>
      </w:pPr>
      <w:r>
        <w:t xml:space="preserve">USD ($)</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literature review and systematic meta-analysis for the Meridian University longitudinal study on urban education policy outcomes. The Academic Researcher conducted a thorough examination of 340 peer-reviewed journals and government publications relevant to the research scope.</w:t>
            </w:r>
          </w:p>
        </w:tc>
        <w:tc>
          <w:tcPr/>
          <w:p>
            <w:pPr>
              <w:pStyle w:val="Compact"/>
              <w:jc w:val="left"/>
            </w:pPr>
            <w:r>
              <w:t xml:space="preserve">May 5 – May 16, 2025</w:t>
            </w:r>
          </w:p>
        </w:tc>
        <w:tc>
          <w:tcPr/>
          <w:p>
            <w:pPr>
              <w:pStyle w:val="Compact"/>
              <w:jc w:val="left"/>
            </w:pPr>
            <w:r>
              <w:t xml:space="preserve">48 hrs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Quantitative data analysis and statistical modeling using SPSS and R programming. The Academic Researcher performed multivariate regression analysis, structural equation modeling, and predictive analytics on a dataset of 12,400 respondents collected across five boroughs of New York City.</w:t>
            </w:r>
          </w:p>
        </w:tc>
        <w:tc>
          <w:tcPr/>
          <w:p>
            <w:pPr>
              <w:pStyle w:val="Compact"/>
              <w:jc w:val="left"/>
            </w:pPr>
            <w:r>
              <w:t xml:space="preserve">May 19 – May 30, 2025</w:t>
            </w:r>
          </w:p>
        </w:tc>
        <w:tc>
          <w:tcPr/>
          <w:p>
            <w:pPr>
              <w:pStyle w:val="Compact"/>
              <w:jc w:val="left"/>
            </w:pPr>
            <w:r>
              <w:t xml:space="preserve">56 hrs</w:t>
            </w:r>
          </w:p>
        </w:tc>
        <w:tc>
          <w:tcPr/>
          <w:p>
            <w:pPr>
              <w:pStyle w:val="Compact"/>
              <w:jc w:val="left"/>
            </w:pPr>
            <w:r>
              <w:t xml:space="preserve">$195.00</w:t>
            </w:r>
          </w:p>
        </w:tc>
        <w:tc>
          <w:tcPr/>
          <w:p>
            <w:pPr>
              <w:pStyle w:val="Compact"/>
              <w:jc w:val="left"/>
            </w:pPr>
            <w:r>
              <w:t xml:space="preserve">$10,920.00</w:t>
            </w:r>
          </w:p>
        </w:tc>
      </w:tr>
      <w:tr>
        <w:tc>
          <w:tcPr/>
          <w:p>
            <w:pPr>
              <w:pStyle w:val="Compact"/>
              <w:jc w:val="left"/>
            </w:pPr>
            <w:r>
              <w:t xml:space="preserve">3</w:t>
            </w:r>
          </w:p>
        </w:tc>
        <w:tc>
          <w:tcPr/>
          <w:p>
            <w:pPr>
              <w:pStyle w:val="Compact"/>
              <w:jc w:val="left"/>
            </w:pPr>
            <w:r>
              <w:t xml:space="preserve">Drafting and peer-review preparation of the primary research manuscript for submission to the</w:t>
            </w:r>
            <w:r>
              <w:t xml:space="preserve"> </w:t>
            </w:r>
            <w:r>
              <w:rPr>
                <w:iCs/>
                <w:i/>
              </w:rPr>
              <w:t xml:space="preserve">Journal of Urban Education Research</w:t>
            </w:r>
            <w:r>
              <w:t xml:space="preserve">. The Academic Researcher authored 28 pages of original analysis, including methodology, findings, discussion, and policy recommendation sections.</w:t>
            </w:r>
          </w:p>
        </w:tc>
        <w:tc>
          <w:tcPr/>
          <w:p>
            <w:pPr>
              <w:pStyle w:val="Compact"/>
              <w:jc w:val="left"/>
            </w:pPr>
            <w:r>
              <w:t xml:space="preserve">June 2 – June 6, 2025</w:t>
            </w:r>
          </w:p>
        </w:tc>
        <w:tc>
          <w:tcPr/>
          <w:p>
            <w:pPr>
              <w:pStyle w:val="Compact"/>
              <w:jc w:val="left"/>
            </w:pPr>
            <w:r>
              <w:t xml:space="preserve">32 hrs</w:t>
            </w:r>
          </w:p>
        </w:tc>
        <w:tc>
          <w:tcPr/>
          <w:p>
            <w:pPr>
              <w:pStyle w:val="Compact"/>
              <w:jc w:val="left"/>
            </w:pPr>
            <w:r>
              <w:t xml:space="preserve">$200.00</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On-site research consultation and methodology workshop held at the Meridian University Research Foundation offices in New York City. The Academic Researcher led a full-day intensive session with a team of eight graduate researchers on advanced qualitative coding techniques and inter-rater reliability protocols.</w:t>
            </w:r>
          </w:p>
        </w:tc>
        <w:tc>
          <w:tcPr/>
          <w:p>
            <w:pPr>
              <w:pStyle w:val="Compact"/>
              <w:jc w:val="left"/>
            </w:pPr>
            <w:r>
              <w:t xml:space="preserve">June 9, 2025</w:t>
            </w:r>
          </w:p>
        </w:tc>
        <w:tc>
          <w:tcPr/>
          <w:p>
            <w:pPr>
              <w:pStyle w:val="Compact"/>
              <w:jc w:val="left"/>
            </w:pPr>
            <w:r>
              <w:t xml:space="preserve">8 hrs</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Preparation of a grant progress report and budget reconciliation document for the National Science Foundation (NSF) award #24-18832. The Academic Researcher compiled expenditure records, narrative progress summaries, and deliverable status updates in compliance with NSF reporting standards.</w:t>
            </w:r>
          </w:p>
        </w:tc>
        <w:tc>
          <w:tcPr/>
          <w:p>
            <w:pPr>
              <w:pStyle w:val="Compact"/>
              <w:jc w:val="left"/>
            </w:pPr>
            <w:r>
              <w:t xml:space="preserve">June 10 – June 11, 2025</w:t>
            </w:r>
          </w:p>
        </w:tc>
        <w:tc>
          <w:tcPr/>
          <w:p>
            <w:pPr>
              <w:pStyle w:val="Compact"/>
              <w:jc w:val="left"/>
            </w:pPr>
            <w:r>
              <w:t xml:space="preserve">12 hrs</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Reimbursement of research materials: archival database access fees (JSTOR, ProQuest, and ERIC), printed reference materials, and secure cloud storage for sensitive participant data in compliance with New York State data privacy regulations.</w:t>
            </w:r>
          </w:p>
        </w:tc>
        <w:tc>
          <w:tcPr/>
          <w:p>
            <w:pPr>
              <w:pStyle w:val="Compact"/>
              <w:jc w:val="left"/>
            </w:pPr>
            <w:r>
              <w:t xml:space="preserve">May – June 2025</w:t>
            </w:r>
          </w:p>
        </w:tc>
        <w:tc>
          <w:tcPr/>
          <w:p>
            <w:pPr>
              <w:pStyle w:val="Compact"/>
              <w:jc w:val="left"/>
            </w:pPr>
            <w:r>
              <w:t xml:space="preserve">1 flat</w:t>
            </w:r>
          </w:p>
        </w:tc>
        <w:tc>
          <w:tcPr/>
          <w:p>
            <w:pPr>
              <w:pStyle w:val="Compact"/>
              <w:jc w:val="left"/>
            </w:pPr>
            <w:r>
              <w:t xml:space="preserve">$1,245.00</w:t>
            </w:r>
          </w:p>
        </w:tc>
        <w:tc>
          <w:tcPr/>
          <w:p>
            <w:pPr>
              <w:pStyle w:val="Compact"/>
              <w:jc w:val="left"/>
            </w:pPr>
            <w:r>
              <w:t xml:space="preserve">$1,245.00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$31,545.00</w:t>
            </w:r>
          </w:p>
        </w:tc>
      </w:tr>
      <w:tr>
        <w:tc>
          <w:tcPr/>
          <w:p>
            <w:pPr>
              <w:pStyle w:val="Compact"/>
              <w:jc w:val="left"/>
            </w:pPr>
            <w:r>
              <w:t xml:space="preserve">Applicable Discount (Early Engagement Agreement)</w:t>
            </w:r>
          </w:p>
        </w:tc>
        <w:tc>
          <w:tcPr/>
          <w:p>
            <w:pPr>
              <w:pStyle w:val="Compact"/>
              <w:jc w:val="left"/>
            </w:pPr>
            <w:r>
              <w:t xml:space="preserve">-$1,577.25</w:t>
            </w:r>
          </w:p>
        </w:tc>
      </w:tr>
      <w:tr>
        <w:tc>
          <w:tcPr/>
          <w:p>
            <w:pPr>
              <w:pStyle w:val="Compact"/>
              <w:jc w:val="left"/>
            </w:pPr>
            <w:r>
              <w:t xml:space="preserve">Adjusted Subtotal</w:t>
            </w:r>
          </w:p>
        </w:tc>
        <w:tc>
          <w:tcPr/>
          <w:p>
            <w:pPr>
              <w:pStyle w:val="Compact"/>
              <w:jc w:val="left"/>
            </w:pPr>
            <w:r>
              <w:t xml:space="preserve">$29,967.75</w:t>
            </w:r>
          </w:p>
        </w:tc>
      </w:tr>
      <w:tr>
        <w:tc>
          <w:tcPr/>
          <w:p>
            <w:pPr>
              <w:pStyle w:val="Compact"/>
              <w:jc w:val="left"/>
            </w:pPr>
            <w:r>
              <w:t xml:space="preserve">New York State Sales Tax (8.875%)</w:t>
            </w:r>
          </w:p>
        </w:tc>
        <w:tc>
          <w:tcPr/>
          <w:p>
            <w:pPr>
              <w:pStyle w:val="Compact"/>
              <w:jc w:val="left"/>
            </w:pPr>
            <w:r>
              <w:t xml:space="preserve">$2,659.64</w:t>
            </w:r>
          </w:p>
        </w:tc>
      </w:tr>
      <w:tr>
        <w:tc>
          <w:tcPr/>
          <w:p>
            <w:pPr>
              <w:pStyle w:val="Compact"/>
              <w:jc w:val="left"/>
            </w:pPr>
            <w:r>
              <w:t xml:space="preserve">New York City Additional Tax (3.875%)</w:t>
            </w:r>
          </w:p>
        </w:tc>
        <w:tc>
          <w:tcPr/>
          <w:p>
            <w:pPr>
              <w:pStyle w:val="Compact"/>
              <w:jc w:val="left"/>
            </w:pPr>
            <w:r>
              <w:t xml:space="preserve">$1,161.25</w:t>
            </w:r>
          </w:p>
        </w:tc>
      </w:tr>
      <w:tr>
        <w:tc>
          <w:tcPr/>
          <w:p>
            <w:pPr>
              <w:pStyle w:val="Compact"/>
              <w:jc w:val="left"/>
            </w:pPr>
            <w:r>
              <w:t xml:space="preserve">Metropolitan Commuter Transportation District (MCTD) Tax (0.3125%)</w:t>
            </w:r>
          </w:p>
        </w:tc>
        <w:tc>
          <w:tcPr/>
          <w:p>
            <w:pPr>
              <w:pStyle w:val="Compact"/>
              <w:jc w:val="left"/>
            </w:pPr>
            <w:r>
              <w:t xml:space="preserve">$93.65</w:t>
            </w:r>
          </w:p>
        </w:tc>
      </w:tr>
      <w:tr>
        <w:tc>
          <w:tcPr/>
          <w:p>
            <w:pPr>
              <w:pStyle w:val="Compact"/>
              <w:jc w:val="left"/>
            </w:pPr>
            <w:r>
              <w:t xml:space="preserve">Grand Total Due</w:t>
            </w:r>
          </w:p>
        </w:tc>
        <w:tc>
          <w:tcPr/>
          <w:p>
            <w:pPr>
              <w:pStyle w:val="Compact"/>
              <w:jc w:val="left"/>
            </w:pPr>
            <w:r>
              <w:t xml:space="preserve">$33,882.29</w:t>
            </w:r>
          </w:p>
        </w:tc>
      </w:tr>
    </w:tbl>
    <w:bookmarkStart w:id="23" w:name="invoice-notes-payment-instructions"/>
    <w:p>
      <w:pPr>
        <w:pStyle w:val="Heading4"/>
      </w:pPr>
      <w:r>
        <w:t xml:space="preserve">Invoice Notes &amp; Payment Instructions</w:t>
      </w:r>
    </w:p>
    <w:p>
      <w:pPr>
        <w:pStyle w:val="FirstParagraph"/>
      </w:pPr>
      <w:r>
        <w:t xml:space="preserve">This Invoice is issued by Dr. Eleanor M. Whitfield, a licensed Academic Researcher operating under Whitfield Research Associates LLC, a registered entity in the State of New York, United States. All services described herein were performed in the capacity of a professional Academic Researcher providing specialized scholarly consulting within the United States New York City metropolitan area.</w:t>
      </w:r>
    </w:p>
    <w:p>
      <w:pPr>
        <w:pStyle w:val="BodyText"/>
      </w:pPr>
      <w:r>
        <w:rPr>
          <w:bCs/>
          <w:b/>
        </w:rPr>
        <w:t xml:space="preserve">Payment Method:</w:t>
      </w:r>
      <w:r>
        <w:t xml:space="preserve"> </w:t>
      </w:r>
      <w:r>
        <w:t xml:space="preserve">Wire transfer to Whitfield Research Associates LLC, Bank of America, Account No. 4471-8829-003, Routing No. 026009593, SWIFT: BOFAUS3N. Alternatively, check payable to "Whitfield Research Associates LLC" mailed to the address listed above.</w:t>
      </w:r>
    </w:p>
    <w:p>
      <w:pPr>
        <w:pStyle w:val="BodyText"/>
      </w:pPr>
      <w:r>
        <w:rPr>
          <w:bCs/>
          <w:b/>
        </w:rPr>
        <w:t xml:space="preserve">Important:</w:t>
      </w:r>
      <w:r>
        <w:t xml:space="preserve"> </w:t>
      </w:r>
      <w:r>
        <w:t xml:space="preserve">Please reference Invoice Number WRA-2025-0047 on all correspondence and remittances. This Invoice is valid for 90 days from the date of issue. Late payments are subject to a 1.5% monthly interest charge as permitted under New York State General Obligations Law §5-1105.</w:t>
      </w:r>
    </w:p>
    <w:bookmarkEnd w:id="23"/>
    <w:bookmarkStart w:id="24" w:name="terms-and-conditions"/>
    <w:p>
      <w:pPr>
        <w:pStyle w:val="Heading4"/>
      </w:pPr>
      <w:r>
        <w:t xml:space="preserve">Terms and Conditions</w:t>
      </w:r>
    </w:p>
    <w:p>
      <w:pPr>
        <w:pStyle w:val="FirstParagraph"/>
      </w:pPr>
      <w:r>
        <w:t xml:space="preserve">1. This Invoice constitutes a formal request for payment for Academic Researcher services rendered by Dr. Eleanor M. Whitfield to Meridian University Research Foundation. All work was conducted in accordance with the Master Service Agreement dated March 1, 2025, and applicable United States federal and New York State professional standards.</w:t>
      </w:r>
    </w:p>
    <w:p>
      <w:pPr>
        <w:pStyle w:val="BodyText"/>
      </w:pPr>
      <w:r>
        <w:t xml:space="preserve">2. The Academic Researcher warrants that all data analysis, manuscript preparation, and research outputs delivered under this Invoice are original work, free from plagiarism, and conducted in full compliance with the American Association of University Professors (AAUP) ethical guidelines and the United States New York City municipal regulations governing professional services.</w:t>
      </w:r>
    </w:p>
    <w:p>
      <w:pPr>
        <w:pStyle w:val="BodyText"/>
      </w:pPr>
      <w:r>
        <w:t xml:space="preserve">3. Intellectual property rights to all research findings, datasets, and published materials remain the property of Meridian University Research Foundation upon full settlement of this Invoice, as stipulated in Section 7 of the Master Service Agreement.</w:t>
      </w:r>
    </w:p>
    <w:p>
      <w:pPr>
        <w:pStyle w:val="BodyText"/>
      </w:pPr>
      <w:r>
        <w:t xml:space="preserve">4. Disputes arising from this Invoice shall be resolved through binding arbitration in New York City, New York, United States, in accordance with the rules of the American Arbitration Association.</w:t>
      </w:r>
    </w:p>
    <w:p>
      <w:pPr>
        <w:pStyle w:val="BodyText"/>
      </w:pPr>
      <w:r>
        <w:t xml:space="preserve">5. This Invoice is governed by the laws of the State of New York and the United States of America. The venue for any legal proceedings shall be the Supreme Court of New York County, New York City.</w:t>
      </w:r>
    </w:p>
    <w:bookmarkEnd w:id="24"/>
    <w:p>
      <w:pPr>
        <w:pStyle w:val="BodyText"/>
      </w:pPr>
      <w:r>
        <w:rPr>
          <w:bCs/>
          <w:b/>
        </w:rPr>
        <w:t xml:space="preserve">Whitfield Research Associates LLC</w:t>
      </w:r>
      <w:r>
        <w:t xml:space="preserve"> </w:t>
      </w:r>
      <w:r>
        <w:t xml:space="preserve">— Academic Researcher Services — United States New York City</w:t>
      </w:r>
    </w:p>
    <w:p>
      <w:pPr>
        <w:pStyle w:val="BodyText"/>
      </w:pPr>
      <w:r>
        <w:t xml:space="preserve">1285 Broadway, Suite 4200, New York City, NY 10018, United States | (212) 555-0147 | e.whitfield@whitfieldresearch.com</w:t>
      </w:r>
    </w:p>
    <w:p>
      <w:pPr>
        <w:pStyle w:val="BodyText"/>
      </w:pPr>
      <w:r>
        <w:t xml:space="preserve">Registered in the State of New York | EIN: 84-2937156 | NYS DOS Registration: 44-88291</w:t>
      </w:r>
    </w:p>
    <w:p>
      <w:pPr>
        <w:pStyle w:val="BodyText"/>
      </w:pPr>
      <w:r>
        <w:t xml:space="preserve">Thank you for your business. This Invoice was generated electronically and is valid without a physical signature. For questions regarding this Invoice, please contact the undersigned Academic Researcher within 30 days of the due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United States New York City</dc:title>
  <dc:creator/>
  <dc:language>en</dc:language>
  <cp:keywords/>
  <dcterms:created xsi:type="dcterms:W3CDTF">2026-10-10T08:15:02Z</dcterms:created>
  <dcterms:modified xsi:type="dcterms:W3CDTF">2026-10-10T08:15:02Z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