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contador-profesional-s.r.l."/>
    <w:p>
      <w:pPr>
        <w:pStyle w:val="Heading1"/>
      </w:pPr>
      <w:r>
        <w:t xml:space="preserve">Contador Profesional S.R.L.</w:t>
      </w:r>
    </w:p>
    <w:p>
      <w:pPr>
        <w:pStyle w:val="FirstParagraph"/>
      </w:pPr>
      <w:r>
        <w:t xml:space="preserve">CUIT: 30-71234567-8</w:t>
      </w:r>
    </w:p>
    <w:p>
      <w:pPr>
        <w:pStyle w:val="BodyText"/>
      </w:pPr>
      <w:r>
        <w:t xml:space="preserve">Av. Corrientes 2340, Piso 12, Of. 1204</w:t>
      </w:r>
    </w:p>
    <w:p>
      <w:pPr>
        <w:pStyle w:val="BodyText"/>
      </w:pPr>
      <w:r>
        <w:t xml:space="preserve">Ciudad de Buenos Aires, C1043AAB</w:t>
      </w:r>
    </w:p>
    <w:p>
      <w:pPr>
        <w:pStyle w:val="BodyText"/>
      </w:pPr>
      <w:r>
        <w:t xml:space="preserve">Argentina Buenos Aires</w:t>
      </w:r>
    </w:p>
    <w:p>
      <w:pPr>
        <w:pStyle w:val="BodyText"/>
      </w:pPr>
      <w:r>
        <w:t xml:space="preserve">Tel: +54 11 4321-5678 | Email: info@contadorba.com.ar</w:t>
      </w:r>
    </w:p>
    <w:p>
      <w:pPr>
        <w:pStyle w:val="BodyText"/>
      </w:pPr>
      <w:r>
        <w:t xml:space="preserve">Registered Accountant Firm</w:t>
      </w:r>
    </w:p>
    <w:bookmarkEnd w:id="20"/>
    <w:bookmarkStart w:id="21" w:name="invoice"/>
    <w:p>
      <w:pPr>
        <w:pStyle w:val="Heading2"/>
      </w:pPr>
      <w:r>
        <w:t xml:space="preserve">INVOICE</w:t>
      </w:r>
    </w:p>
    <w:p>
      <w:pPr>
        <w:pStyle w:val="FirstParagraph"/>
      </w:pPr>
      <w:r>
        <w:t xml:space="preserve">Invoice Number: INV-2025-00487</w:t>
      </w:r>
    </w:p>
    <w:p>
      <w:pPr>
        <w:pStyle w:val="BodyText"/>
      </w:pPr>
      <w:r>
        <w:t xml:space="preserve">Issue Date: 15/06/2025</w:t>
      </w:r>
    </w:p>
    <w:p>
      <w:pPr>
        <w:pStyle w:val="BodyText"/>
      </w:pPr>
      <w:r>
        <w:t xml:space="preserve">Due Date: 30/06/2025</w:t>
      </w:r>
    </w:p>
    <w:p>
      <w:pPr>
        <w:pStyle w:val="BodyText"/>
      </w:pPr>
      <w:r>
        <w:t xml:space="preserve">Period: May 2025</w:t>
      </w:r>
    </w:p>
    <w:bookmarkEnd w:id="21"/>
    <w:bookmarkStart w:id="22" w:name="accountant-service-provider"/>
    <w:p>
      <w:pPr>
        <w:pStyle w:val="Heading3"/>
      </w:pPr>
      <w:r>
        <w:t xml:space="preserve">Accountant (Service Provider)</w:t>
      </w:r>
    </w:p>
    <w:p>
      <w:pPr>
        <w:pStyle w:val="FirstParagraph"/>
      </w:pPr>
      <w:r>
        <w:rPr>
          <w:bCs/>
          <w:b/>
        </w:rPr>
        <w:t xml:space="preserve">Name:</w:t>
      </w:r>
      <w:r>
        <w:t xml:space="preserve"> </w:t>
      </w:r>
      <w:r>
        <w:t xml:space="preserve">Lic. Roberto Fernández</w:t>
      </w:r>
    </w:p>
    <w:p>
      <w:pPr>
        <w:pStyle w:val="BodyText"/>
      </w:pPr>
      <w:r>
        <w:rPr>
          <w:bCs/>
          <w:b/>
        </w:rPr>
        <w:t xml:space="preserve">Professional Title:</w:t>
      </w:r>
      <w:r>
        <w:t xml:space="preserve"> </w:t>
      </w:r>
      <w:r>
        <w:t xml:space="preserve">Certified Public Accountant (CPA)</w:t>
      </w:r>
    </w:p>
    <w:p>
      <w:pPr>
        <w:pStyle w:val="BodyText"/>
      </w:pPr>
      <w:r>
        <w:rPr>
          <w:bCs/>
          <w:b/>
        </w:rPr>
        <w:t xml:space="preserve">Matrícula:</w:t>
      </w:r>
      <w:r>
        <w:t xml:space="preserve"> </w:t>
      </w:r>
      <w:r>
        <w:t xml:space="preserve">PCBA 12345</w:t>
      </w:r>
    </w:p>
    <w:p>
      <w:pPr>
        <w:pStyle w:val="BodyText"/>
      </w:pPr>
      <w:r>
        <w:rPr>
          <w:bCs/>
          <w:b/>
        </w:rPr>
        <w:t xml:space="preserve">Firm:</w:t>
      </w:r>
      <w:r>
        <w:t xml:space="preserve"> </w:t>
      </w:r>
      <w:r>
        <w:t xml:space="preserve">Contador Profesional S.R.L.</w:t>
      </w:r>
    </w:p>
    <w:p>
      <w:pPr>
        <w:pStyle w:val="BodyText"/>
      </w:pPr>
      <w:r>
        <w:rPr>
          <w:bCs/>
          <w:b/>
        </w:rPr>
        <w:t xml:space="preserve">Address:</w:t>
      </w:r>
      <w:r>
        <w:t xml:space="preserve"> </w:t>
      </w:r>
      <w:r>
        <w:t xml:space="preserve">Av. Corrientes 2340, Piso 12, Of. 1204, Buenos Aires, Argentina</w:t>
      </w:r>
    </w:p>
    <w:p>
      <w:pPr>
        <w:pStyle w:val="BodyText"/>
      </w:pPr>
      <w:r>
        <w:rPr>
          <w:bCs/>
          <w:b/>
        </w:rPr>
        <w:t xml:space="preserve">CUIT:</w:t>
      </w:r>
      <w:r>
        <w:t xml:space="preserve"> </w:t>
      </w:r>
      <w:r>
        <w:t xml:space="preserve">30-71234567-8</w:t>
      </w:r>
    </w:p>
    <w:bookmarkEnd w:id="22"/>
    <w:bookmarkStart w:id="23" w:name="client-service-recipient"/>
    <w:p>
      <w:pPr>
        <w:pStyle w:val="Heading3"/>
      </w:pPr>
      <w:r>
        <w:t xml:space="preserve">Client (Service Recipient)</w:t>
      </w:r>
    </w:p>
    <w:p>
      <w:pPr>
        <w:pStyle w:val="FirstParagraph"/>
      </w:pPr>
      <w:r>
        <w:rPr>
          <w:bCs/>
          <w:b/>
        </w:rPr>
        <w:t xml:space="preserve">Company:</w:t>
      </w:r>
      <w:r>
        <w:t xml:space="preserve"> </w:t>
      </w:r>
      <w:r>
        <w:t xml:space="preserve">Industrias del Plata S.A.</w:t>
      </w:r>
    </w:p>
    <w:p>
      <w:pPr>
        <w:pStyle w:val="BodyText"/>
      </w:pPr>
      <w:r>
        <w:rPr>
          <w:bCs/>
          <w:b/>
        </w:rPr>
        <w:t xml:space="preserve">CUIT:</w:t>
      </w:r>
      <w:r>
        <w:t xml:space="preserve"> </w:t>
      </w:r>
      <w:r>
        <w:t xml:space="preserve">30-55667788-9</w:t>
      </w:r>
    </w:p>
    <w:p>
      <w:pPr>
        <w:pStyle w:val="BodyText"/>
      </w:pPr>
      <w:r>
        <w:rPr>
          <w:bCs/>
          <w:b/>
        </w:rPr>
        <w:t xml:space="preserve">Address:</w:t>
      </w:r>
      <w:r>
        <w:t xml:space="preserve"> </w:t>
      </w:r>
      <w:r>
        <w:t xml:space="preserve">Ruta 2, Km 38.5, Zona Industrial</w:t>
      </w:r>
    </w:p>
    <w:p>
      <w:pPr>
        <w:pStyle w:val="BodyText"/>
      </w:pPr>
      <w:r>
        <w:rPr>
          <w:bCs/>
          <w:b/>
        </w:rPr>
        <w:t xml:space="preserve">City:</w:t>
      </w:r>
      <w:r>
        <w:t xml:space="preserve"> </w:t>
      </w:r>
      <w:r>
        <w:t xml:space="preserve">La Plata, Buenos Aires, Argentina</w:t>
      </w:r>
    </w:p>
    <w:p>
      <w:pPr>
        <w:pStyle w:val="BodyText"/>
      </w:pPr>
      <w:r>
        <w:rPr>
          <w:bCs/>
          <w:b/>
        </w:rPr>
        <w:t xml:space="preserve">Contact:</w:t>
      </w:r>
      <w:r>
        <w:t xml:space="preserve"> </w:t>
      </w:r>
      <w:r>
        <w:t xml:space="preserve">Ing. María González (CFO)</w:t>
      </w:r>
    </w:p>
    <w:p>
      <w:pPr>
        <w:pStyle w:val="BodyText"/>
      </w:pPr>
      <w:r>
        <w:rPr>
          <w:bCs/>
          <w:b/>
        </w:rPr>
        <w:t xml:space="preserve">Email:</w:t>
      </w:r>
      <w:r>
        <w:t xml:space="preserve"> </w:t>
      </w:r>
      <w:r>
        <w:t xml:space="preserve">mgonzalez@industriasplata.com.ar</w:t>
      </w:r>
    </w:p>
    <w:bookmarkEnd w:id="23"/>
    <w:bookmarkStart w:id="24" w:name="Xca3d71af47923d4f26f4c76d6c55b0ae294e873"/>
    <w:p>
      <w:pPr>
        <w:pStyle w:val="Heading3"/>
      </w:pPr>
      <w:r>
        <w:t xml:space="preserve">Accountant Services Rendered – Invoice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Monthly financial statement preparation and reconciliation for the period of May 2025, including balance sheet, income statement, and cash flow statement in compliance with Argentine GAAP (NIC/IFRS) as mandated by the AFIP and the Comisión Nacional de Valores.</w:t>
            </w:r>
          </w:p>
        </w:tc>
        <w:tc>
          <w:tcPr/>
          <w:p>
            <w:pPr>
              <w:pStyle w:val="Compact"/>
              <w:jc w:val="left"/>
            </w:pPr>
            <w:r>
              <w:t xml:space="preserve">16</w:t>
            </w:r>
          </w:p>
        </w:tc>
        <w:tc>
          <w:tcPr/>
          <w:p>
            <w:pPr>
              <w:pStyle w:val="Compact"/>
              <w:jc w:val="left"/>
            </w:pPr>
            <w:r>
              <w:t xml:space="preserve">$12,500.00</w:t>
            </w:r>
          </w:p>
        </w:tc>
        <w:tc>
          <w:tcPr/>
          <w:p>
            <w:pPr>
              <w:pStyle w:val="Compact"/>
              <w:jc w:val="left"/>
            </w:pPr>
            <w:r>
              <w:t xml:space="preserve">$200,000.00</w:t>
            </w:r>
          </w:p>
        </w:tc>
      </w:tr>
      <w:tr>
        <w:tc>
          <w:tcPr/>
          <w:p>
            <w:pPr>
              <w:pStyle w:val="Compact"/>
              <w:jc w:val="left"/>
            </w:pPr>
            <w:r>
              <w:t xml:space="preserve">2</w:t>
            </w:r>
          </w:p>
        </w:tc>
        <w:tc>
          <w:tcPr/>
          <w:p>
            <w:pPr>
              <w:pStyle w:val="Compact"/>
              <w:jc w:val="left"/>
            </w:pPr>
            <w:r>
              <w:t xml:space="preserve">Preparation and filing of monthly IVA (Value Added Tax) returns with the AFIP (Administración Federal de Ingresos Públicos) for the jurisdiction of Argentina Buenos Aires, including electronic invoicing (Facturación Electrónica) compliance and reconciliation of sales and purchase invoices.</w:t>
            </w:r>
          </w:p>
        </w:tc>
        <w:tc>
          <w:tcPr/>
          <w:p>
            <w:pPr>
              <w:pStyle w:val="Compact"/>
              <w:jc w:val="left"/>
            </w:pPr>
            <w:r>
              <w:t xml:space="preserve">8</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3</w:t>
            </w:r>
          </w:p>
        </w:tc>
        <w:tc>
          <w:tcPr/>
          <w:p>
            <w:pPr>
              <w:pStyle w:val="Compact"/>
              <w:jc w:val="left"/>
            </w:pPr>
            <w:r>
              <w:t xml:space="preserve">Payroll accounting and social security contributions (Aportes y Contribuciones) filing for 45 employees, including preparation of the monthly liquidation, SIPA declarations, and compliance with the Convenio Colectivo de Trabajo (CCT) applicable in the Buenos Aires metropolitan area.</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Tax advisory and planning consultation regarding the Impuesto a las Ganancias (Income Tax) for legal entities, including analysis of deductible expenses, depreciation schedules, and optimization strategies for the fiscal year 2025 in Argentina Buenos Aires.</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Preparation of the monthly accounting ledger (Libro Diario and Libro Mayor) entries, bank reconciliation statements, and internal control reports for management review. This Accountant service ensures full traceability and audit readiness of all financial transactions.</w:t>
            </w:r>
          </w:p>
        </w:tc>
        <w:tc>
          <w:tcPr/>
          <w:p>
            <w:pPr>
              <w:pStyle w:val="Compact"/>
              <w:jc w:val="left"/>
            </w:pPr>
            <w:r>
              <w:t xml:space="preserve">10</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6</w:t>
            </w:r>
          </w:p>
        </w:tc>
        <w:tc>
          <w:tcPr/>
          <w:p>
            <w:pPr>
              <w:pStyle w:val="Compact"/>
              <w:jc w:val="left"/>
            </w:pPr>
            <w:r>
              <w:t xml:space="preserve">Review and validation of supplier invoices, accounts payable aging analysis, and preparation of the monthly payment schedule. The Accountant also performed a compliance check on all electronic invoices (CFI) received during the period to ensure proper tax treatment.</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(ARS)</w:t>
            </w:r>
          </w:p>
        </w:tc>
        <w:tc>
          <w:tcPr/>
          <w:p>
            <w:pPr>
              <w:pStyle w:val="Compact"/>
              <w:jc w:val="right"/>
            </w:pPr>
            <w:r>
              <w:rPr>
                <w:bCs/>
                <w:b/>
              </w:rPr>
              <w:t xml:space="preserve">$740,000.00</w:t>
            </w:r>
          </w:p>
        </w:tc>
      </w:tr>
      <w:tr>
        <w:tc>
          <w:tcPr/>
          <w:p>
            <w:pPr>
              <w:pStyle w:val="Compact"/>
              <w:jc w:val="left"/>
            </w:pPr>
            <w:r>
              <w:t xml:space="preserve">IVA 21% (Value Added Tax)</w:t>
            </w:r>
          </w:p>
        </w:tc>
        <w:tc>
          <w:tcPr/>
          <w:p>
            <w:pPr>
              <w:pStyle w:val="Compact"/>
              <w:jc w:val="right"/>
            </w:pPr>
            <w:r>
              <w:t xml:space="preserve">$155,400.00</w:t>
            </w:r>
          </w:p>
        </w:tc>
      </w:tr>
      <w:tr>
        <w:tc>
          <w:tcPr/>
          <w:p>
            <w:pPr>
              <w:pStyle w:val="Compact"/>
              <w:jc w:val="left"/>
            </w:pPr>
            <w:r>
              <w:t xml:space="preserve">Percepción de Ganancias (10%)</w:t>
            </w:r>
          </w:p>
        </w:tc>
        <w:tc>
          <w:tcPr/>
          <w:p>
            <w:pPr>
              <w:pStyle w:val="Compact"/>
              <w:jc w:val="right"/>
            </w:pPr>
            <w:r>
              <w:t xml:space="preserve">$74,000.00</w:t>
            </w:r>
          </w:p>
        </w:tc>
      </w:tr>
      <w:tr>
        <w:tc>
          <w:tcPr/>
          <w:p>
            <w:pPr>
              <w:pStyle w:val="Compact"/>
              <w:jc w:val="left"/>
            </w:pPr>
            <w:r>
              <w:t xml:space="preserve">Percepción de IVA (10%)</w:t>
            </w:r>
          </w:p>
        </w:tc>
        <w:tc>
          <w:tcPr/>
          <w:p>
            <w:pPr>
              <w:pStyle w:val="Compact"/>
              <w:jc w:val="right"/>
            </w:pPr>
            <w:r>
              <w:t xml:space="preserve">$74,000.00</w:t>
            </w:r>
          </w:p>
        </w:tc>
      </w:tr>
      <w:tr>
        <w:tc>
          <w:tcPr/>
          <w:p>
            <w:pPr>
              <w:pStyle w:val="Compact"/>
              <w:jc w:val="left"/>
            </w:pPr>
            <w:r>
              <w:t xml:space="preserve">TOTAL INVOICE AMOUNT (ARS)</w:t>
            </w:r>
          </w:p>
        </w:tc>
        <w:tc>
          <w:tcPr/>
          <w:p>
            <w:pPr>
              <w:pStyle w:val="Compact"/>
              <w:jc w:val="right"/>
            </w:pPr>
            <w:r>
              <w:t xml:space="preserve">$1,043,400.00</w:t>
            </w:r>
          </w:p>
        </w:tc>
      </w:tr>
    </w:tbl>
    <w:bookmarkEnd w:id="24"/>
    <w:bookmarkStart w:id="25" w:name="payment-terms-and-instructions"/>
    <w:p>
      <w:pPr>
        <w:pStyle w:val="Heading3"/>
      </w:pPr>
      <w:r>
        <w:t xml:space="preserve">Payment Terms and Instructions</w:t>
      </w:r>
    </w:p>
    <w:p>
      <w:pPr>
        <w:pStyle w:val="FirstParagraph"/>
      </w:pPr>
      <w:r>
        <w:rPr>
          <w:bCs/>
          <w:b/>
        </w:rPr>
        <w:t xml:space="preserve">Payment Method:</w:t>
      </w:r>
      <w:r>
        <w:t xml:space="preserve"> </w:t>
      </w:r>
      <w:r>
        <w:t xml:space="preserve">Bank Transfer (Transferencia Bancaria) or Cheque</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Contador Profesional S.R.L.</w:t>
      </w:r>
    </w:p>
    <w:p>
      <w:pPr>
        <w:pStyle w:val="BodyText"/>
      </w:pPr>
      <w:r>
        <w:rPr>
          <w:bCs/>
          <w:b/>
        </w:rPr>
        <w:t xml:space="preserve">CBU:</w:t>
      </w:r>
      <w:r>
        <w:t xml:space="preserve"> </w:t>
      </w:r>
      <w:r>
        <w:t xml:space="preserve">0110001100000000000001</w:t>
      </w:r>
    </w:p>
    <w:p>
      <w:pPr>
        <w:pStyle w:val="BodyText"/>
      </w:pPr>
      <w:r>
        <w:rPr>
          <w:bCs/>
          <w:b/>
        </w:rPr>
        <w:t xml:space="preserve">Alias:</w:t>
      </w:r>
      <w:r>
        <w:t xml:space="preserve"> </w:t>
      </w:r>
      <w:r>
        <w:t xml:space="preserve">@contadorba.bna</w:t>
      </w:r>
    </w:p>
    <w:p>
      <w:pPr>
        <w:pStyle w:val="BodyText"/>
      </w:pPr>
      <w:r>
        <w:rPr>
          <w:bCs/>
          <w:b/>
        </w:rPr>
        <w:t xml:space="preserve">Payment Due:</w:t>
      </w:r>
      <w:r>
        <w:t xml:space="preserve"> </w:t>
      </w:r>
      <w:r>
        <w:t xml:space="preserve">Within 15 calendar days from the issue date of this Invoice (by 30/06/2025).</w:t>
      </w:r>
    </w:p>
    <w:p>
      <w:pPr>
        <w:pStyle w:val="BodyText"/>
      </w:pPr>
      <w:r>
        <w:rPr>
          <w:bCs/>
          <w:b/>
        </w:rPr>
        <w:t xml:space="preserve">Penalty:</w:t>
      </w:r>
      <w:r>
        <w:t xml:space="preserve"> </w:t>
      </w:r>
      <w:r>
        <w:t xml:space="preserve">Late payments will accrue interest at the rate established by the AFIP for overdue tax obligations in Argentina Buenos Aires, plus a 5% administrative surcharge as stipulated in the professional services contract.</w:t>
      </w:r>
    </w:p>
    <w:bookmarkEnd w:id="25"/>
    <w:bookmarkStart w:id="26" w:name="important-notes-regarding-this-invoice"/>
    <w:p>
      <w:pPr>
        <w:pStyle w:val="Heading3"/>
      </w:pPr>
      <w:r>
        <w:t xml:space="preserve">Important Notes Regarding This Invoice</w:t>
      </w:r>
    </w:p>
    <w:p>
      <w:pPr>
        <w:pStyle w:val="FirstParagraph"/>
      </w:pPr>
      <w:r>
        <w:t xml:space="preserve">This Invoice is issued in accordance with the Argentine electronic invoicing system (Sistema de Facturación Electrónica) administered by the AFIP. The Accountant services described herein are rendered under the professional regulations of the Colegio Público de Contadores de la Ciudad de Buenos Aires.</w:t>
      </w:r>
    </w:p>
    <w:p>
      <w:pPr>
        <w:numPr>
          <w:ilvl w:val="0"/>
          <w:numId w:val="1001"/>
        </w:numPr>
        <w:pStyle w:val="Compact"/>
      </w:pPr>
      <w:r>
        <w:t xml:space="preserve">All amounts are expressed in Argentine Pesos (ARS) and are subject to the tax regime applicable in Argentina Buenos Aires as of the date of issuance.</w:t>
      </w:r>
    </w:p>
    <w:p>
      <w:pPr>
        <w:numPr>
          <w:ilvl w:val="0"/>
          <w:numId w:val="1001"/>
        </w:numPr>
        <w:pStyle w:val="Compact"/>
      </w:pPr>
      <w:r>
        <w:t xml:space="preserve">The Accountant retains all working papers, ledgers, and supporting documentation for a minimum period of ten (10) years in compliance with Argentine commercial law (Código Comercial, Art. 1031).</w:t>
      </w:r>
    </w:p>
    <w:p>
      <w:pPr>
        <w:numPr>
          <w:ilvl w:val="0"/>
          <w:numId w:val="1001"/>
        </w:numPr>
        <w:pStyle w:val="Compact"/>
      </w:pPr>
      <w:r>
        <w:t xml:space="preserve">This Invoice does not constitute a final tax opinion. The Accountant's advisory services are provided for informational and compliance purposes only.</w:t>
      </w:r>
    </w:p>
    <w:p>
      <w:pPr>
        <w:numPr>
          <w:ilvl w:val="0"/>
          <w:numId w:val="1001"/>
        </w:numPr>
        <w:pStyle w:val="Compact"/>
      </w:pPr>
      <w:r>
        <w:t xml:space="preserve">Any disputes arising from this Invoice or the associated Accountant services shall be resolved under the jurisdiction of the commercial courts of the City of Buenos Aires, Argentina.</w:t>
      </w:r>
    </w:p>
    <w:p>
      <w:pPr>
        <w:numPr>
          <w:ilvl w:val="0"/>
          <w:numId w:val="1001"/>
        </w:numPr>
        <w:pStyle w:val="Compact"/>
      </w:pPr>
      <w:r>
        <w:t xml:space="preserve">The client acknowledges receipt of this Invoice and agrees to the terms and conditions outlined in the master professional services agreement dated 01/01/2025.</w:t>
      </w:r>
    </w:p>
    <w:bookmarkEnd w:id="26"/>
    <w:p>
      <w:pPr>
        <w:pStyle w:val="FirstParagraph"/>
      </w:pPr>
      <w:r>
        <w:rPr>
          <w:bCs/>
          <w:b/>
        </w:rPr>
        <w:t xml:space="preserve">Lic. Roberto Fernández</w:t>
      </w:r>
      <w:r>
        <w:br/>
      </w:r>
      <w:r>
        <w:t xml:space="preserve">Certified Public Accountant (CPA)</w:t>
      </w:r>
      <w:r>
        <w:br/>
      </w:r>
      <w:r>
        <w:t xml:space="preserve">Matrícula PCBA 12345</w:t>
      </w:r>
      <w:r>
        <w:br/>
      </w:r>
      <w:r>
        <w:t xml:space="preserve">Contador Profesional S.R.L.</w:t>
      </w:r>
    </w:p>
    <w:p>
      <w:pPr>
        <w:pStyle w:val="BodyText"/>
      </w:pPr>
      <w:r>
        <w:rPr>
          <w:bCs/>
          <w:b/>
        </w:rPr>
        <w:t xml:space="preserve">Ing. María González</w:t>
      </w:r>
      <w:r>
        <w:br/>
      </w:r>
      <w:r>
        <w:t xml:space="preserve">Chief Financial Officer</w:t>
      </w:r>
      <w:r>
        <w:br/>
      </w:r>
      <w:r>
        <w:t xml:space="preserve">Industrias del Plata S.A.</w:t>
      </w:r>
      <w:r>
        <w:br/>
      </w:r>
      <w:r>
        <w:t xml:space="preserve">Client Representative</w:t>
      </w:r>
    </w:p>
    <w:p>
      <w:pPr>
        <w:pStyle w:val="BodyText"/>
      </w:pPr>
      <w:r>
        <w:rPr>
          <w:bCs/>
          <w:b/>
        </w:rPr>
        <w:t xml:space="preserve">Contador Profesional S.R.L.</w:t>
      </w:r>
      <w:r>
        <w:t xml:space="preserve"> </w:t>
      </w:r>
      <w:r>
        <w:t xml:space="preserve">– Registered Accountant Firm in Argentina Buenos Aires</w:t>
      </w:r>
    </w:p>
    <w:p>
      <w:pPr>
        <w:pStyle w:val="BodyText"/>
      </w:pPr>
      <w:r>
        <w:t xml:space="preserve">Av. Corrientes 2340, Piso 12, Of. 1204, C1043AAB, Ciudad Autónoma de Buenos Aires, Argentina</w:t>
      </w:r>
    </w:p>
    <w:p>
      <w:pPr>
        <w:pStyle w:val="BodyText"/>
      </w:pPr>
      <w:r>
        <w:t xml:space="preserve">CUIT: 30-71234567-8 | Tel: +54 11 4321-5678 | Email: info@contadorba.com.ar</w:t>
      </w:r>
    </w:p>
    <w:p>
      <w:pPr>
        <w:pStyle w:val="BodyText"/>
      </w:pPr>
      <w:r>
        <w:t xml:space="preserve">This Invoice was generated electronically and is valid without physical signature in accordance with Argentine Law 25.506 (Electronic Signatures) and AFIP Resolution General 4292. The Accountant services rendered are covered by professional liability insurance (Póliza N° 2025-445678, La Previsora Seguros).</w:t>
      </w:r>
    </w:p>
    <w:p>
      <w:pPr>
        <w:pStyle w:val="BodyText"/>
      </w:pPr>
      <w:r>
        <w:t xml:space="preserve">Invoice INV-2025-00487 | Page 1 of 1 | Generated: 15/06/2025 10:32:15 ART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Argentina Buenos Aires</dc:title>
  <dc:creator/>
  <dc:language>en</dc:language>
  <cp:keywords/>
  <dcterms:created xsi:type="dcterms:W3CDTF">2026-10-10T07:33:00Z</dcterms:created>
  <dcterms:modified xsi:type="dcterms:W3CDTF">2026-10-10T07:33:00Z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