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Professional</w:t>
      </w:r>
      <w:r>
        <w:t xml:space="preserve"> </w:t>
      </w:r>
      <w:r>
        <w:t xml:space="preserve">Accountant</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contador-profesional-garcía-asociados"/>
    <w:p>
      <w:pPr>
        <w:pStyle w:val="Heading1"/>
      </w:pPr>
      <w:r>
        <w:t xml:space="preserve">Contador Profesional García &amp; Asociados</w:t>
      </w:r>
    </w:p>
    <w:p>
      <w:pPr>
        <w:pStyle w:val="FirstParagraph"/>
      </w:pPr>
      <w:r>
        <w:t xml:space="preserve">Professional Accountant Firm</w:t>
      </w:r>
    </w:p>
    <w:p>
      <w:pPr>
        <w:pStyle w:val="BodyText"/>
      </w:pPr>
      <w:r>
        <w:t xml:space="preserve">Av. Vélez Sarsfield 1250, Piso 4, Oficina 402</w:t>
      </w:r>
    </w:p>
    <w:p>
      <w:pPr>
        <w:pStyle w:val="BodyText"/>
      </w:pPr>
      <w:r>
        <w:t xml:space="preserve">Córdoba, Argentina – C.P. 5000</w:t>
      </w:r>
    </w:p>
    <w:p>
      <w:pPr>
        <w:pStyle w:val="BodyText"/>
      </w:pPr>
      <w:r>
        <w:t xml:space="preserve">CUIT: 30-54872361-9</w:t>
      </w:r>
    </w:p>
    <w:p>
      <w:pPr>
        <w:pStyle w:val="BodyText"/>
      </w:pPr>
      <w:r>
        <w:t xml:space="preserve">Phone: +54 (351) 422-8890 | Email: info@contadorcordoba.com.ar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INV-2025-00472</w:t>
      </w:r>
    </w:p>
    <w:p>
      <w:pPr>
        <w:pStyle w:val="BodyText"/>
      </w:pPr>
      <w:r>
        <w:rPr>
          <w:bCs/>
          <w:b/>
        </w:rPr>
        <w:t xml:space="preserve">Date of Issue: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Period Covered:</w:t>
      </w:r>
      <w:r>
        <w:t xml:space="preserve"> </w:t>
      </w:r>
      <w:r>
        <w:t xml:space="preserve">January – June 2025</w:t>
      </w:r>
    </w:p>
    <w:bookmarkEnd w:id="21"/>
    <w:bookmarkStart w:id="22" w:name="bill-to-client"/>
    <w:p>
      <w:pPr>
        <w:pStyle w:val="Heading3"/>
      </w:pPr>
      <w:r>
        <w:t xml:space="preserve">Bill To (Client)</w:t>
      </w:r>
    </w:p>
    <w:p>
      <w:pPr>
        <w:pStyle w:val="FirstParagraph"/>
      </w:pPr>
      <w:r>
        <w:rPr>
          <w:bCs/>
          <w:b/>
        </w:rPr>
        <w:t xml:space="preserve">Empresa Textil del Litoral S.A.</w:t>
      </w:r>
    </w:p>
    <w:p>
      <w:pPr>
        <w:pStyle w:val="BodyText"/>
      </w:pPr>
      <w:r>
        <w:t xml:space="preserve">Av. Colón 2340, Piso 7</w:t>
      </w:r>
    </w:p>
    <w:p>
      <w:pPr>
        <w:pStyle w:val="BodyText"/>
      </w:pPr>
      <w:r>
        <w:t xml:space="preserve">Córdoba, Argentina – C.P. 5000</w:t>
      </w:r>
    </w:p>
    <w:p>
      <w:pPr>
        <w:pStyle w:val="BodyText"/>
      </w:pPr>
      <w:r>
        <w:t xml:space="preserve">CUIT: 30-71234567-8</w:t>
      </w:r>
    </w:p>
    <w:p>
      <w:pPr>
        <w:pStyle w:val="BodyText"/>
      </w:pPr>
      <w:r>
        <w:t xml:space="preserve">Contact: Lic. María Fernández</w:t>
      </w:r>
    </w:p>
    <w:p>
      <w:pPr>
        <w:pStyle w:val="BodyText"/>
      </w:pPr>
      <w:r>
        <w:t xml:space="preserve">Email: mfernandez@textillitoral.com.ar</w:t>
      </w:r>
    </w:p>
    <w:bookmarkEnd w:id="22"/>
    <w:bookmarkStart w:id="23" w:name="service-provider-accountant"/>
    <w:p>
      <w:pPr>
        <w:pStyle w:val="Heading3"/>
      </w:pPr>
      <w:r>
        <w:t xml:space="preserve">Service Provider (Accountant)</w:t>
      </w:r>
    </w:p>
    <w:p>
      <w:pPr>
        <w:pStyle w:val="FirstParagraph"/>
      </w:pPr>
      <w:r>
        <w:rPr>
          <w:bCs/>
          <w:b/>
        </w:rPr>
        <w:t xml:space="preserve">CPN Ricardo A. García</w:t>
      </w:r>
    </w:p>
    <w:p>
      <w:pPr>
        <w:pStyle w:val="BodyText"/>
      </w:pPr>
      <w:r>
        <w:t xml:space="preserve">Matrícula CPA: 12.847 – Colegio de Contadores de Córdoba</w:t>
      </w:r>
    </w:p>
    <w:p>
      <w:pPr>
        <w:pStyle w:val="BodyText"/>
      </w:pPr>
      <w:r>
        <w:t xml:space="preserve">Professional Accountant – Tax &amp; Financial Advisory</w:t>
      </w:r>
    </w:p>
    <w:p>
      <w:pPr>
        <w:pStyle w:val="BodyText"/>
      </w:pPr>
      <w:r>
        <w:t xml:space="preserve">Av. Vélez Sarsfield 1250, Piso 4, Of. 402</w:t>
      </w:r>
    </w:p>
    <w:p>
      <w:pPr>
        <w:pStyle w:val="BodyText"/>
      </w:pPr>
      <w:r>
        <w:t xml:space="preserve">Córdoba, Argentina – C.P. 5000</w:t>
      </w:r>
    </w:p>
    <w:p>
      <w:pPr>
        <w:pStyle w:val="BodyText"/>
      </w:pPr>
      <w:r>
        <w:t xml:space="preserve">Phone: +54 (351) 422-8890</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Accounting Services</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Amount (ARS)</w:t>
            </w:r>
          </w:p>
        </w:tc>
      </w:tr>
      <w:tr>
        <w:tc>
          <w:tcPr/>
          <w:p>
            <w:pPr>
              <w:pStyle w:val="Compact"/>
              <w:jc w:val="left"/>
            </w:pPr>
            <w:r>
              <w:t xml:space="preserve">1</w:t>
            </w:r>
          </w:p>
        </w:tc>
        <w:tc>
          <w:tcPr/>
          <w:p>
            <w:pPr>
              <w:pStyle w:val="Compact"/>
              <w:jc w:val="left"/>
            </w:pPr>
            <w:r>
              <w:t xml:space="preserve">Monthly bookkeeping and general ledger maintenance for all business units located in Argentina Córdoba</w:t>
            </w:r>
          </w:p>
        </w:tc>
        <w:tc>
          <w:tcPr/>
          <w:p>
            <w:pPr>
              <w:pStyle w:val="Compact"/>
              <w:jc w:val="left"/>
            </w:pPr>
            <w:r>
              <w:t xml:space="preserve">Jan – Jun 2025</w:t>
            </w:r>
          </w:p>
        </w:tc>
        <w:tc>
          <w:tcPr/>
          <w:p>
            <w:pPr>
              <w:pStyle w:val="Compact"/>
              <w:jc w:val="left"/>
            </w:pPr>
            <w:r>
              <w:t xml:space="preserve">6 months</w:t>
            </w:r>
          </w:p>
        </w:tc>
        <w:tc>
          <w:tcPr/>
          <w:p>
            <w:pPr>
              <w:pStyle w:val="Compact"/>
              <w:jc w:val="left"/>
            </w:pPr>
            <w:r>
              <w:t xml:space="preserve">85,000.00</w:t>
            </w:r>
          </w:p>
        </w:tc>
        <w:tc>
          <w:tcPr/>
          <w:p>
            <w:pPr>
              <w:pStyle w:val="Compact"/>
              <w:jc w:val="left"/>
            </w:pPr>
            <w:r>
              <w:t xml:space="preserve">510,000.00</w:t>
            </w:r>
          </w:p>
        </w:tc>
      </w:tr>
      <w:tr>
        <w:tc>
          <w:tcPr/>
          <w:p>
            <w:pPr>
              <w:pStyle w:val="Compact"/>
              <w:jc w:val="left"/>
            </w:pPr>
            <w:r>
              <w:t xml:space="preserve">2</w:t>
            </w:r>
          </w:p>
        </w:tc>
        <w:tc>
          <w:tcPr/>
          <w:p>
            <w:pPr>
              <w:pStyle w:val="Compact"/>
              <w:jc w:val="left"/>
            </w:pPr>
            <w:r>
              <w:t xml:space="preserve">Preparation and filing of monthly IVA (VAT) returns and monthly income tax (Impuesto a las Ganancias) declarations before AFIP</w:t>
            </w:r>
          </w:p>
        </w:tc>
        <w:tc>
          <w:tcPr/>
          <w:p>
            <w:pPr>
              <w:pStyle w:val="Compact"/>
              <w:jc w:val="left"/>
            </w:pPr>
            <w:r>
              <w:t xml:space="preserve">Jan – Jun 2025</w:t>
            </w:r>
          </w:p>
        </w:tc>
        <w:tc>
          <w:tcPr/>
          <w:p>
            <w:pPr>
              <w:pStyle w:val="Compact"/>
              <w:jc w:val="left"/>
            </w:pPr>
            <w:r>
              <w:t xml:space="preserve">6 months</w:t>
            </w:r>
          </w:p>
        </w:tc>
        <w:tc>
          <w:tcPr/>
          <w:p>
            <w:pPr>
              <w:pStyle w:val="Compact"/>
              <w:jc w:val="left"/>
            </w:pPr>
            <w:r>
              <w:t xml:space="preserve">62,000.00</w:t>
            </w:r>
          </w:p>
        </w:tc>
        <w:tc>
          <w:tcPr/>
          <w:p>
            <w:pPr>
              <w:pStyle w:val="Compact"/>
              <w:jc w:val="left"/>
            </w:pPr>
            <w:r>
              <w:t xml:space="preserve">372,000.00</w:t>
            </w:r>
          </w:p>
        </w:tc>
      </w:tr>
      <w:tr>
        <w:tc>
          <w:tcPr/>
          <w:p>
            <w:pPr>
              <w:pStyle w:val="Compact"/>
              <w:jc w:val="left"/>
            </w:pPr>
            <w:r>
              <w:t xml:space="preserve">3</w:t>
            </w:r>
          </w:p>
        </w:tc>
        <w:tc>
          <w:tcPr/>
          <w:p>
            <w:pPr>
              <w:pStyle w:val="Compact"/>
              <w:jc w:val="left"/>
            </w:pPr>
            <w:r>
              <w:t xml:space="preserve">Payroll processing, social security contributions (ANSES), and employee tax withholdings for 45 employees</w:t>
            </w:r>
          </w:p>
        </w:tc>
        <w:tc>
          <w:tcPr/>
          <w:p>
            <w:pPr>
              <w:pStyle w:val="Compact"/>
              <w:jc w:val="left"/>
            </w:pPr>
            <w:r>
              <w:t xml:space="preserve">Jan – Jun 2025</w:t>
            </w:r>
          </w:p>
        </w:tc>
        <w:tc>
          <w:tcPr/>
          <w:p>
            <w:pPr>
              <w:pStyle w:val="Compact"/>
              <w:jc w:val="left"/>
            </w:pPr>
            <w:r>
              <w:t xml:space="preserve">6 months</w:t>
            </w:r>
          </w:p>
        </w:tc>
        <w:tc>
          <w:tcPr/>
          <w:p>
            <w:pPr>
              <w:pStyle w:val="Compact"/>
              <w:jc w:val="left"/>
            </w:pPr>
            <w:r>
              <w:t xml:space="preserve">95,000.00</w:t>
            </w:r>
          </w:p>
        </w:tc>
        <w:tc>
          <w:tcPr/>
          <w:p>
            <w:pPr>
              <w:pStyle w:val="Compact"/>
              <w:jc w:val="left"/>
            </w:pPr>
            <w:r>
              <w:t xml:space="preserve">570,000.00</w:t>
            </w:r>
          </w:p>
        </w:tc>
      </w:tr>
      <w:tr>
        <w:tc>
          <w:tcPr/>
          <w:p>
            <w:pPr>
              <w:pStyle w:val="Compact"/>
              <w:jc w:val="left"/>
            </w:pPr>
            <w:r>
              <w:t xml:space="preserve">4</w:t>
            </w:r>
          </w:p>
        </w:tc>
        <w:tc>
          <w:tcPr/>
          <w:p>
            <w:pPr>
              <w:pStyle w:val="Compact"/>
              <w:jc w:val="left"/>
            </w:pPr>
            <w:r>
              <w:t xml:space="preserve">Quarterly financial statement preparation (balance sheet, income statement, cash flow) in compliance with Argentine GAAP (NIC/IFRS)</w:t>
            </w:r>
          </w:p>
        </w:tc>
        <w:tc>
          <w:tcPr/>
          <w:p>
            <w:pPr>
              <w:pStyle w:val="Compact"/>
              <w:jc w:val="left"/>
            </w:pPr>
            <w:r>
              <w:t xml:space="preserve">Q1 &amp; Q2 2025</w:t>
            </w:r>
          </w:p>
        </w:tc>
        <w:tc>
          <w:tcPr/>
          <w:p>
            <w:pPr>
              <w:pStyle w:val="Compact"/>
              <w:jc w:val="left"/>
            </w:pPr>
            <w:r>
              <w:t xml:space="preserve">2 quarters</w:t>
            </w:r>
          </w:p>
        </w:tc>
        <w:tc>
          <w:tcPr/>
          <w:p>
            <w:pPr>
              <w:pStyle w:val="Compact"/>
              <w:jc w:val="left"/>
            </w:pPr>
            <w:r>
              <w:t xml:space="preserve">120,000.00</w:t>
            </w:r>
          </w:p>
        </w:tc>
        <w:tc>
          <w:tcPr/>
          <w:p>
            <w:pPr>
              <w:pStyle w:val="Compact"/>
              <w:jc w:val="left"/>
            </w:pPr>
            <w:r>
              <w:t xml:space="preserve">240,000.00</w:t>
            </w:r>
          </w:p>
        </w:tc>
      </w:tr>
      <w:tr>
        <w:tc>
          <w:tcPr/>
          <w:p>
            <w:pPr>
              <w:pStyle w:val="Compact"/>
              <w:jc w:val="left"/>
            </w:pPr>
            <w:r>
              <w:t xml:space="preserve">5</w:t>
            </w:r>
          </w:p>
        </w:tc>
        <w:tc>
          <w:tcPr/>
          <w:p>
            <w:pPr>
              <w:pStyle w:val="Compact"/>
              <w:jc w:val="left"/>
            </w:pPr>
            <w:r>
              <w:t xml:space="preserve">Tax advisory and planning sessions – monthly consultation with the Accountant regarding fiscal obligations in Argentina Córdoba</w:t>
            </w:r>
          </w:p>
        </w:tc>
        <w:tc>
          <w:tcPr/>
          <w:p>
            <w:pPr>
              <w:pStyle w:val="Compact"/>
              <w:jc w:val="left"/>
            </w:pPr>
            <w:r>
              <w:t xml:space="preserve">Jan – Jun 2025</w:t>
            </w:r>
          </w:p>
        </w:tc>
        <w:tc>
          <w:tcPr/>
          <w:p>
            <w:pPr>
              <w:pStyle w:val="Compact"/>
              <w:jc w:val="left"/>
            </w:pPr>
            <w:r>
              <w:t xml:space="preserve">6 sessions</w:t>
            </w:r>
          </w:p>
        </w:tc>
        <w:tc>
          <w:tcPr/>
          <w:p>
            <w:pPr>
              <w:pStyle w:val="Compact"/>
              <w:jc w:val="left"/>
            </w:pPr>
            <w:r>
              <w:t xml:space="preserve">45,000.00</w:t>
            </w:r>
          </w:p>
        </w:tc>
        <w:tc>
          <w:tcPr/>
          <w:p>
            <w:pPr>
              <w:pStyle w:val="Compact"/>
              <w:jc w:val="left"/>
            </w:pPr>
            <w:r>
              <w:t xml:space="preserve">270,000.00</w:t>
            </w:r>
          </w:p>
        </w:tc>
      </w:tr>
      <w:tr>
        <w:tc>
          <w:tcPr/>
          <w:p>
            <w:pPr>
              <w:pStyle w:val="Compact"/>
              <w:jc w:val="left"/>
            </w:pPr>
            <w:r>
              <w:t xml:space="preserve">6</w:t>
            </w:r>
          </w:p>
        </w:tc>
        <w:tc>
          <w:tcPr/>
          <w:p>
            <w:pPr>
              <w:pStyle w:val="Compact"/>
              <w:jc w:val="left"/>
            </w:pPr>
            <w:r>
              <w:t xml:space="preserve">Annual tax return preparation (Declaración Jurisdiccional) and reconciliation of all fiscal accounts</w:t>
            </w:r>
          </w:p>
        </w:tc>
        <w:tc>
          <w:tcPr/>
          <w:p>
            <w:pPr>
              <w:pStyle w:val="Compact"/>
              <w:jc w:val="left"/>
            </w:pPr>
            <w:r>
              <w:t xml:space="preserve">2025</w:t>
            </w:r>
          </w:p>
        </w:tc>
        <w:tc>
          <w:tcPr/>
          <w:p>
            <w:pPr>
              <w:pStyle w:val="Compact"/>
              <w:jc w:val="left"/>
            </w:pPr>
            <w:r>
              <w:t xml:space="preserve">1 service</w:t>
            </w:r>
          </w:p>
        </w:tc>
        <w:tc>
          <w:tcPr/>
          <w:p>
            <w:pPr>
              <w:pStyle w:val="Compact"/>
              <w:jc w:val="left"/>
            </w:pPr>
            <w:r>
              <w:t xml:space="preserve">180,000.00</w:t>
            </w:r>
          </w:p>
        </w:tc>
        <w:tc>
          <w:tcPr/>
          <w:p>
            <w:pPr>
              <w:pStyle w:val="Compact"/>
              <w:jc w:val="left"/>
            </w:pPr>
            <w:r>
              <w:t xml:space="preserve">180,000.00</w:t>
            </w:r>
          </w:p>
        </w:tc>
      </w:tr>
      <w:tr>
        <w:tc>
          <w:tcPr/>
          <w:p>
            <w:pPr>
              <w:pStyle w:val="Compact"/>
              <w:jc w:val="left"/>
            </w:pPr>
            <w:r>
              <w:t xml:space="preserve">7</w:t>
            </w:r>
          </w:p>
        </w:tc>
        <w:tc>
          <w:tcPr/>
          <w:p>
            <w:pPr>
              <w:pStyle w:val="Compact"/>
              <w:jc w:val="left"/>
            </w:pPr>
            <w:r>
              <w:t xml:space="preserve">Representation before AFIP and provincial tax authorities (ARBA – Agencia de Recaudación de Buenos Aires / Córdoba) for audit responses</w:t>
            </w:r>
          </w:p>
        </w:tc>
        <w:tc>
          <w:tcPr/>
          <w:p>
            <w:pPr>
              <w:pStyle w:val="Compact"/>
              <w:jc w:val="left"/>
            </w:pPr>
            <w:r>
              <w:t xml:space="preserve">2025</w:t>
            </w:r>
          </w:p>
        </w:tc>
        <w:tc>
          <w:tcPr/>
          <w:p>
            <w:pPr>
              <w:pStyle w:val="Compact"/>
              <w:jc w:val="left"/>
            </w:pPr>
            <w:r>
              <w:t xml:space="preserve">3 instances</w:t>
            </w:r>
          </w:p>
        </w:tc>
        <w:tc>
          <w:tcPr/>
          <w:p>
            <w:pPr>
              <w:pStyle w:val="Compact"/>
              <w:jc w:val="left"/>
            </w:pPr>
            <w:r>
              <w:t xml:space="preserve">55,000.00</w:t>
            </w:r>
          </w:p>
        </w:tc>
        <w:tc>
          <w:tcPr/>
          <w:p>
            <w:pPr>
              <w:pStyle w:val="Compact"/>
              <w:jc w:val="left"/>
            </w:pPr>
            <w:r>
              <w:t xml:space="preserve">165,000.00</w:t>
            </w:r>
          </w:p>
        </w:tc>
      </w:tr>
      <w:tr>
        <w:tc>
          <w:tcPr/>
          <w:p>
            <w:pPr>
              <w:pStyle w:val="Compact"/>
              <w:jc w:val="left"/>
            </w:pPr>
            <w:r>
              <w:t xml:space="preserve">8</w:t>
            </w:r>
          </w:p>
        </w:tc>
        <w:tc>
          <w:tcPr/>
          <w:p>
            <w:pPr>
              <w:pStyle w:val="Compact"/>
              <w:jc w:val="left"/>
            </w:pPr>
            <w:r>
              <w:t xml:space="preserve">Digital document management, electronic invoicing (Facturación Electrónica) setup, and compliance monitoring under AFIP regulations</w:t>
            </w:r>
          </w:p>
        </w:tc>
        <w:tc>
          <w:tcPr/>
          <w:p>
            <w:pPr>
              <w:pStyle w:val="Compact"/>
              <w:jc w:val="left"/>
            </w:pPr>
            <w:r>
              <w:t xml:space="preserve">Jan – Jun 2025</w:t>
            </w:r>
          </w:p>
        </w:tc>
        <w:tc>
          <w:tcPr/>
          <w:p>
            <w:pPr>
              <w:pStyle w:val="Compact"/>
              <w:jc w:val="left"/>
            </w:pPr>
            <w:r>
              <w:t xml:space="preserve">6 months</w:t>
            </w:r>
          </w:p>
        </w:tc>
        <w:tc>
          <w:tcPr/>
          <w:p>
            <w:pPr>
              <w:pStyle w:val="Compact"/>
              <w:jc w:val="left"/>
            </w:pPr>
            <w:r>
              <w:t xml:space="preserve">38,000.00</w:t>
            </w:r>
          </w:p>
        </w:tc>
        <w:tc>
          <w:tcPr/>
          <w:p>
            <w:pPr>
              <w:pStyle w:val="Compact"/>
              <w:jc w:val="left"/>
            </w:pPr>
            <w:r>
              <w:t xml:space="preserve">228,000.00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(ARS)</w:t>
            </w:r>
          </w:p>
        </w:tc>
        <w:tc>
          <w:tcPr/>
          <w:p>
            <w:pPr>
              <w:pStyle w:val="Compact"/>
              <w:jc w:val="right"/>
            </w:pPr>
            <w:r>
              <w:rPr>
                <w:bCs/>
                <w:b/>
              </w:rPr>
              <w:t xml:space="preserve">2,535,000.00</w:t>
            </w:r>
          </w:p>
        </w:tc>
      </w:tr>
      <w:tr>
        <w:tc>
          <w:tcPr/>
          <w:p>
            <w:pPr>
              <w:pStyle w:val="Compact"/>
              <w:jc w:val="left"/>
            </w:pPr>
            <w:r>
              <w:t xml:space="preserve">IVA 21% (VAT – Argentina)</w:t>
            </w:r>
          </w:p>
        </w:tc>
        <w:tc>
          <w:tcPr/>
          <w:p>
            <w:pPr>
              <w:pStyle w:val="Compact"/>
              <w:jc w:val="right"/>
            </w:pPr>
            <w:r>
              <w:t xml:space="preserve">532,350.00</w:t>
            </w:r>
          </w:p>
        </w:tc>
      </w:tr>
      <w:tr>
        <w:tc>
          <w:tcPr/>
          <w:p>
            <w:pPr>
              <w:pStyle w:val="Compact"/>
              <w:jc w:val="left"/>
            </w:pPr>
            <w:r>
              <w:t xml:space="preserve">Perception – Ganancias 6%</w:t>
            </w:r>
          </w:p>
        </w:tc>
        <w:tc>
          <w:tcPr/>
          <w:p>
            <w:pPr>
              <w:pStyle w:val="Compact"/>
              <w:jc w:val="right"/>
            </w:pPr>
            <w:r>
              <w:t xml:space="preserve">152,100.00</w:t>
            </w:r>
          </w:p>
        </w:tc>
      </w:tr>
      <w:tr>
        <w:tc>
          <w:tcPr/>
          <w:p>
            <w:pPr>
              <w:pStyle w:val="Compact"/>
              <w:jc w:val="left"/>
            </w:pPr>
            <w:r>
              <w:t xml:space="preserve">Perception – IVA 10%</w:t>
            </w:r>
          </w:p>
        </w:tc>
        <w:tc>
          <w:tcPr/>
          <w:p>
            <w:pPr>
              <w:pStyle w:val="Compact"/>
              <w:jc w:val="right"/>
            </w:pPr>
            <w:r>
              <w:t xml:space="preserve">253,500.00</w:t>
            </w:r>
          </w:p>
        </w:tc>
      </w:tr>
      <w:tr>
        <w:tc>
          <w:tcPr/>
          <w:p>
            <w:pPr>
              <w:pStyle w:val="Compact"/>
              <w:jc w:val="left"/>
            </w:pPr>
            <w:r>
              <w:t xml:space="preserve">TOTAL AMOUNT DUE (ARS)</w:t>
            </w:r>
          </w:p>
        </w:tc>
        <w:tc>
          <w:tcPr/>
          <w:p>
            <w:pPr>
              <w:pStyle w:val="Compact"/>
              <w:jc w:val="right"/>
            </w:pPr>
            <w:r>
              <w:t xml:space="preserve">$3,472,950.00</w:t>
            </w:r>
          </w:p>
        </w:tc>
      </w:tr>
    </w:tbl>
    <w:bookmarkStart w:id="24" w:name="payment-terms-conditions"/>
    <w:p>
      <w:pPr>
        <w:pStyle w:val="Heading3"/>
      </w:pPr>
      <w:r>
        <w:t xml:space="preserve">Payment Terms &amp; Conditions</w:t>
      </w:r>
    </w:p>
    <w:p>
      <w:pPr>
        <w:pStyle w:val="FirstParagraph"/>
      </w:pPr>
      <w:r>
        <w:t xml:space="preserve">This Invoice must be settled in full within thirty (30) calendar days from the date of issue, no later than July 15, 2025. Payment may be made via bank transfer to the following account: Banco de la Nación Argentina, CBU: 0110300000123456789012, CUIT: 30-54872361-9, or by check payable to "CPN Ricardo A. García."</w:t>
      </w:r>
    </w:p>
    <w:p>
      <w:pPr>
        <w:pStyle w:val="BodyText"/>
      </w:pPr>
      <w:r>
        <w:t xml:space="preserve">Late payments will be subject to a monthly interest rate equivalent to the BCRA reference rate plus 2 percentage points, in accordance with Argentine commercial law. The Accountant reserves the right to suspend ongoing services if payment is not received by the due date specified on this Invoice.</w:t>
      </w:r>
    </w:p>
    <w:p>
      <w:pPr>
        <w:pStyle w:val="BodyText"/>
      </w:pPr>
      <w:r>
        <w:t xml:space="preserve">All amounts are expressed in Argentine Pesos (ARS) and are subject to the tax regime applicable in Argentina Córdoba as established by the national and provincial tax authorities.</w:t>
      </w:r>
    </w:p>
    <w:bookmarkEnd w:id="24"/>
    <w:bookmarkStart w:id="25" w:name="important-notes-regarding-this-invoice"/>
    <w:p>
      <w:pPr>
        <w:pStyle w:val="Heading3"/>
      </w:pPr>
      <w:r>
        <w:t xml:space="preserve">Important Notes Regarding This Invoice</w:t>
      </w:r>
    </w:p>
    <w:p>
      <w:pPr>
        <w:pStyle w:val="FirstParagraph"/>
      </w:pPr>
      <w:r>
        <w:t xml:space="preserve">1. This Invoice has been issued in compliance with the electronic invoicing system (Sistema de Facturación Electrónica) mandated by AFIP for all professional services rendered in Argentina Córdoba and the national territory.</w:t>
      </w:r>
    </w:p>
    <w:p>
      <w:pPr>
        <w:pStyle w:val="BodyText"/>
      </w:pPr>
      <w:r>
        <w:t xml:space="preserve">2. The Accountant, CPN Ricardo A. García, is duly registered with the Colegio de Contadores de la Provincia de Córdoba (Matrícula N° 12.847) and holds all professional licenses required to render accounting, tax advisory, and financial reporting services.</w:t>
      </w:r>
    </w:p>
    <w:p>
      <w:pPr>
        <w:pStyle w:val="BodyText"/>
      </w:pPr>
      <w:r>
        <w:t xml:space="preserve">3. All accounting records, tax filings, and financial statements referenced in this Invoice have been prepared in strict accordance with Argentine Generally Accepted Accounting Principles (NIC/IFRS) and the regulations of the Comisión Nacional de Valores (CNV) where applicable.</w:t>
      </w:r>
    </w:p>
    <w:p>
      <w:pPr>
        <w:pStyle w:val="BodyText"/>
      </w:pPr>
      <w:r>
        <w:t xml:space="preserve">4. The client acknowledges that the services described herein were performed at the professional offices located in Córdoba, Argentina, and that all tax obligations arising from this engagement are governed by the laws of the Province of Córdoba and the Argentine Nation.</w:t>
      </w:r>
    </w:p>
    <w:p>
      <w:pPr>
        <w:pStyle w:val="BodyText"/>
      </w:pPr>
      <w:r>
        <w:t xml:space="preserve">5. This Invoice constitutes the final and complete statement of all professional accounting services rendered during the period indicated. Any additional services not listed above will be subject to a separate Invoice and prior written authorization from the client.</w:t>
      </w:r>
    </w:p>
    <w:bookmarkEnd w:id="25"/>
    <w:p>
      <w:pPr>
        <w:pStyle w:val="BodyText"/>
      </w:pPr>
      <w:r>
        <w:rPr>
          <w:bCs/>
          <w:b/>
        </w:rPr>
        <w:t xml:space="preserve">CPN Ricardo A. García</w:t>
      </w:r>
      <w:r>
        <w:br/>
      </w:r>
      <w:r>
        <w:t xml:space="preserve">Professional Accountant – Service Provider</w:t>
      </w:r>
      <w:r>
        <w:br/>
      </w:r>
      <w:r>
        <w:t xml:space="preserve">Matrícula CPA: 12.847 – Córdoba, Argentina</w:t>
      </w:r>
    </w:p>
    <w:p>
      <w:pPr>
        <w:pStyle w:val="BodyText"/>
      </w:pPr>
      <w:r>
        <w:rPr>
          <w:bCs/>
          <w:b/>
        </w:rPr>
        <w:t xml:space="preserve">Lic. María Fernández</w:t>
      </w:r>
      <w:r>
        <w:br/>
      </w:r>
      <w:r>
        <w:t xml:space="preserve">Authorized Representative – Client</w:t>
      </w:r>
      <w:r>
        <w:br/>
      </w:r>
      <w:r>
        <w:t xml:space="preserve">Empresa Textil del Litoral S.A.</w:t>
      </w:r>
    </w:p>
    <w:p>
      <w:pPr>
        <w:pStyle w:val="BodyText"/>
      </w:pPr>
      <w:r>
        <w:rPr>
          <w:bCs/>
          <w:b/>
        </w:rPr>
        <w:t xml:space="preserve">Contador Profesional García &amp; Asociados</w:t>
      </w:r>
      <w:r>
        <w:t xml:space="preserve"> </w:t>
      </w:r>
      <w:r>
        <w:t xml:space="preserve">– Professional Accountant Firm – Córdoba, Argentina</w:t>
      </w:r>
    </w:p>
    <w:p>
      <w:pPr>
        <w:pStyle w:val="BodyText"/>
      </w:pPr>
      <w:r>
        <w:t xml:space="preserve">Av. Vélez Sarsfield 1250, Piso 4, Oficina 402 – C.P. 5000 – Córdoba, Argentina</w:t>
      </w:r>
    </w:p>
    <w:p>
      <w:pPr>
        <w:pStyle w:val="BodyText"/>
      </w:pPr>
      <w:r>
        <w:t xml:space="preserve">CUIT: 30-54872361-9 | Phone: +54 (351) 422-8890 | Email: info@contadorcordoba.com.ar</w:t>
      </w:r>
    </w:p>
    <w:p>
      <w:pPr>
        <w:pStyle w:val="BodyText"/>
      </w:pPr>
      <w:r>
        <w:t xml:space="preserve">This Invoice was electronically generated and is valid without a physical signature. For any queries regarding this document, please contact the Accountant directly at the address above. Thank you for your business.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Professional Accountant Services - Argentina Córdoba</dc:title>
  <dc:creator/>
  <dc:language>en</dc:language>
  <cp:keywords/>
  <dcterms:created xsi:type="dcterms:W3CDTF">2026-10-10T11:31:14Z</dcterms:created>
  <dcterms:modified xsi:type="dcterms:W3CDTF">2026-10-10T11:31:14Z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