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Sydney</w:t>
      </w:r>
      <w:r>
        <w:t xml:space="preserve"> </w:t>
      </w:r>
      <w:r>
        <w:t xml:space="preserve">Accountant</w:t>
      </w:r>
      <w:r>
        <w:t xml:space="preserve"> </w:t>
      </w:r>
      <w:r>
        <w:t xml:space="preserve">Services</w:t>
      </w:r>
    </w:p>
    <w:bookmarkStart w:id="20" w:name="harper-mitchell-accounting-pty-ltd"/>
    <w:p>
      <w:pPr>
        <w:pStyle w:val="Heading1"/>
      </w:pPr>
      <w:r>
        <w:t xml:space="preserve">Harper &amp; Mitchell Accounting Pty Ltd</w:t>
      </w:r>
    </w:p>
    <w:p>
      <w:pPr>
        <w:pStyle w:val="FirstParagraph"/>
      </w:pPr>
      <w:r>
        <w:t xml:space="preserve">Level 12, 200 George Street, Sydney NSW 2000, Australia</w:t>
      </w:r>
    </w:p>
    <w:p>
      <w:pPr>
        <w:pStyle w:val="BodyText"/>
      </w:pPr>
      <w:r>
        <w:t xml:space="preserve">ABN: 48 123 456 789</w:t>
      </w:r>
    </w:p>
    <w:p>
      <w:pPr>
        <w:pStyle w:val="BodyText"/>
      </w:pPr>
      <w:r>
        <w:t xml:space="preserve">Phone: +61 2 9331 4567 | Email: billing@harpersmitchell.com.au</w:t>
      </w:r>
    </w:p>
    <w:p>
      <w:pPr>
        <w:pStyle w:val="BodyText"/>
      </w:pPr>
      <w:r>
        <w:t xml:space="preserve">Registered Accountant – CPA Australia Member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Meridian Construction Group Pty Ltd</w:t>
      </w:r>
    </w:p>
    <w:p>
      <w:pPr>
        <w:pStyle w:val="BodyText"/>
      </w:pPr>
      <w:r>
        <w:t xml:space="preserve">ABN: 21 987 654 321</w:t>
      </w:r>
    </w:p>
    <w:p>
      <w:pPr>
        <w:pStyle w:val="BodyText"/>
      </w:pPr>
      <w:r>
        <w:t xml:space="preserve">Unit 5, 45 Parramatta Road, Rozelle NSW 2039, Sydney, Australia</w:t>
      </w:r>
    </w:p>
    <w:p>
      <w:pPr>
        <w:pStyle w:val="BodyText"/>
      </w:pPr>
      <w:r>
        <w:t xml:space="preserve">Attn: Mr. David Chen, Finance Director</w:t>
      </w:r>
    </w:p>
    <w:p>
      <w:pPr>
        <w:pStyle w:val="BodyText"/>
      </w:pPr>
      <w:r>
        <w:t xml:space="preserve">Email: d.chen@meridianconstruction.com.au</w:t>
      </w:r>
    </w:p>
    <w:bookmarkEnd w:id="22"/>
    <w:bookmarkStart w:id="23" w:name="accountant-service-provider"/>
    <w:p>
      <w:pPr>
        <w:pStyle w:val="Heading3"/>
      </w:pPr>
      <w:r>
        <w:t xml:space="preserve">Accountant / Service Provider</w:t>
      </w:r>
    </w:p>
    <w:p>
      <w:pPr>
        <w:pStyle w:val="FirstParagraph"/>
      </w:pPr>
      <w:r>
        <w:rPr>
          <w:bCs/>
          <w:b/>
        </w:rPr>
        <w:t xml:space="preserve">Ms. Sarah Harper, CPA</w:t>
      </w:r>
    </w:p>
    <w:p>
      <w:pPr>
        <w:pStyle w:val="BodyText"/>
      </w:pPr>
      <w:r>
        <w:t xml:space="preserve">Principal Accountant, Harper &amp; Mitchell Accounting Pty Ltd</w:t>
      </w:r>
    </w:p>
    <w:p>
      <w:pPr>
        <w:pStyle w:val="BodyText"/>
      </w:pPr>
      <w:r>
        <w:t xml:space="preserve">CPA Australia Membership No: CPA-2019-44821</w:t>
      </w:r>
    </w:p>
    <w:p>
      <w:pPr>
        <w:pStyle w:val="BodyText"/>
      </w:pPr>
      <w:r>
        <w:t xml:space="preserve">NSW Registered Tax Agent No: TA-2023-11567</w:t>
      </w:r>
    </w:p>
    <w:p>
      <w:pPr>
        <w:pStyle w:val="BodyText"/>
      </w:pPr>
      <w:r>
        <w:t xml:space="preserve">Service Period: 1 April 2025 – 31 May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Accounting Services</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GST (10%)</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Monthly bookkeeping and transaction reconciliation for Meridian Construction Group, including accounts payable, accounts receivable, and bank reconciliation for April and May 2025.</w:t>
            </w:r>
          </w:p>
        </w:tc>
        <w:tc>
          <w:tcPr/>
          <w:p>
            <w:pPr>
              <w:pStyle w:val="Compact"/>
              <w:jc w:val="left"/>
            </w:pPr>
            <w:r>
              <w:t xml:space="preserve">$120.00</w:t>
            </w:r>
          </w:p>
        </w:tc>
        <w:tc>
          <w:tcPr/>
          <w:p>
            <w:pPr>
              <w:pStyle w:val="Compact"/>
              <w:jc w:val="left"/>
            </w:pPr>
            <w:r>
              <w:t xml:space="preserve">24.0</w:t>
            </w:r>
          </w:p>
        </w:tc>
        <w:tc>
          <w:tcPr/>
          <w:p>
            <w:pPr>
              <w:pStyle w:val="Compact"/>
              <w:jc w:val="left"/>
            </w:pPr>
            <w:r>
              <w:t xml:space="preserve">$288.00</w:t>
            </w:r>
          </w:p>
        </w:tc>
        <w:tc>
          <w:tcPr/>
          <w:p>
            <w:pPr>
              <w:pStyle w:val="Compact"/>
              <w:jc w:val="left"/>
            </w:pPr>
            <w:r>
              <w:t xml:space="preserve">$3,168.00</w:t>
            </w:r>
          </w:p>
        </w:tc>
      </w:tr>
      <w:tr>
        <w:tc>
          <w:tcPr/>
          <w:p>
            <w:pPr>
              <w:pStyle w:val="Compact"/>
              <w:jc w:val="left"/>
            </w:pPr>
            <w:r>
              <w:t xml:space="preserve">02</w:t>
            </w:r>
          </w:p>
        </w:tc>
        <w:tc>
          <w:tcPr/>
          <w:p>
            <w:pPr>
              <w:pStyle w:val="Compact"/>
              <w:jc w:val="left"/>
            </w:pPr>
            <w:r>
              <w:t xml:space="preserve">Preparation and lodgement of quarterly Business Activity Statement (BAS) with the Australian Taxation Office (ATO) for the quarter ending 31 May 2025, including GST, PAYG withholding, and fringe benefits tax calculations.</w:t>
            </w:r>
          </w:p>
        </w:tc>
        <w:tc>
          <w:tcPr/>
          <w:p>
            <w:pPr>
              <w:pStyle w:val="Compact"/>
              <w:jc w:val="left"/>
            </w:pPr>
            <w:r>
              <w:t xml:space="preserve">$120.00</w:t>
            </w:r>
          </w:p>
        </w:tc>
        <w:tc>
          <w:tcPr/>
          <w:p>
            <w:pPr>
              <w:pStyle w:val="Compact"/>
              <w:jc w:val="left"/>
            </w:pPr>
            <w:r>
              <w:t xml:space="preserve">8.5</w:t>
            </w:r>
          </w:p>
        </w:tc>
        <w:tc>
          <w:tcPr/>
          <w:p>
            <w:pPr>
              <w:pStyle w:val="Compact"/>
              <w:jc w:val="left"/>
            </w:pPr>
            <w:r>
              <w:t xml:space="preserve">$102.00</w:t>
            </w:r>
          </w:p>
        </w:tc>
        <w:tc>
          <w:tcPr/>
          <w:p>
            <w:pPr>
              <w:pStyle w:val="Compact"/>
              <w:jc w:val="left"/>
            </w:pPr>
            <w:r>
              <w:t xml:space="preserve">$1,122.00</w:t>
            </w:r>
          </w:p>
        </w:tc>
      </w:tr>
      <w:tr>
        <w:tc>
          <w:tcPr/>
          <w:p>
            <w:pPr>
              <w:pStyle w:val="Compact"/>
              <w:jc w:val="left"/>
            </w:pPr>
            <w:r>
              <w:t xml:space="preserve">03</w:t>
            </w:r>
          </w:p>
        </w:tc>
        <w:tc>
          <w:tcPr/>
          <w:p>
            <w:pPr>
              <w:pStyle w:val="Compact"/>
              <w:jc w:val="left"/>
            </w:pPr>
            <w:r>
              <w:t xml:space="preserve">Payroll processing and superannuation guarantee (SG) compliance for 34 employees, including preparation of Single Touch Payroll (STP) reports and superannuation contributions to the nominated super fund in accordance with Australian superannuation law.</w:t>
            </w:r>
          </w:p>
        </w:tc>
        <w:tc>
          <w:tcPr/>
          <w:p>
            <w:pPr>
              <w:pStyle w:val="Compact"/>
              <w:jc w:val="left"/>
            </w:pPr>
            <w:r>
              <w:t xml:space="preserve">$120.00</w:t>
            </w:r>
          </w:p>
        </w:tc>
        <w:tc>
          <w:tcPr/>
          <w:p>
            <w:pPr>
              <w:pStyle w:val="Compact"/>
              <w:jc w:val="left"/>
            </w:pPr>
            <w:r>
              <w:t xml:space="preserve">16.0</w:t>
            </w:r>
          </w:p>
        </w:tc>
        <w:tc>
          <w:tcPr/>
          <w:p>
            <w:pPr>
              <w:pStyle w:val="Compact"/>
              <w:jc w:val="left"/>
            </w:pPr>
            <w:r>
              <w:t xml:space="preserve">$384.00</w:t>
            </w:r>
          </w:p>
        </w:tc>
        <w:tc>
          <w:tcPr/>
          <w:p>
            <w:pPr>
              <w:pStyle w:val="Compact"/>
              <w:jc w:val="left"/>
            </w:pPr>
            <w:r>
              <w:t xml:space="preserve">$2,304.00</w:t>
            </w:r>
          </w:p>
        </w:tc>
      </w:tr>
      <w:tr>
        <w:tc>
          <w:tcPr/>
          <w:p>
            <w:pPr>
              <w:pStyle w:val="Compact"/>
              <w:jc w:val="left"/>
            </w:pPr>
            <w:r>
              <w:t xml:space="preserve">04</w:t>
            </w:r>
          </w:p>
        </w:tc>
        <w:tc>
          <w:tcPr/>
          <w:p>
            <w:pPr>
              <w:pStyle w:val="Compact"/>
              <w:jc w:val="left"/>
            </w:pPr>
            <w:r>
              <w:t xml:space="preserve">Preparation of management accounts, profit and loss statement, and balance sheet for the half-year period ending 31 May 2025, in compliance with Australian Accounting Standards (AASB) applicable to small and medium entities.</w:t>
            </w:r>
          </w:p>
        </w:tc>
        <w:tc>
          <w:tcPr/>
          <w:p>
            <w:pPr>
              <w:pStyle w:val="Compact"/>
              <w:jc w:val="left"/>
            </w:pPr>
            <w:r>
              <w:t xml:space="preserve">$150.00</w:t>
            </w:r>
          </w:p>
        </w:tc>
        <w:tc>
          <w:tcPr/>
          <w:p>
            <w:pPr>
              <w:pStyle w:val="Compact"/>
              <w:jc w:val="left"/>
            </w:pPr>
            <w:r>
              <w:t xml:space="preserve">12.0</w:t>
            </w:r>
          </w:p>
        </w:tc>
        <w:tc>
          <w:tcPr/>
          <w:p>
            <w:pPr>
              <w:pStyle w:val="Compact"/>
              <w:jc w:val="left"/>
            </w:pPr>
            <w:r>
              <w:t xml:space="preserve">$180.00</w:t>
            </w:r>
          </w:p>
        </w:tc>
        <w:tc>
          <w:tcPr/>
          <w:p>
            <w:pPr>
              <w:pStyle w:val="Compact"/>
              <w:jc w:val="left"/>
            </w:pPr>
            <w:r>
              <w:t xml:space="preserve">$1,980.00</w:t>
            </w:r>
          </w:p>
        </w:tc>
      </w:tr>
      <w:tr>
        <w:tc>
          <w:tcPr/>
          <w:p>
            <w:pPr>
              <w:pStyle w:val="Compact"/>
              <w:jc w:val="left"/>
            </w:pPr>
            <w:r>
              <w:t xml:space="preserve">05</w:t>
            </w:r>
          </w:p>
        </w:tc>
        <w:tc>
          <w:tcPr/>
          <w:p>
            <w:pPr>
              <w:pStyle w:val="Compact"/>
              <w:jc w:val="left"/>
            </w:pPr>
            <w:r>
              <w:t xml:space="preserve">Tax advisory and planning consultation regarding capital gains tax implications on the sale of a commercial property in Sydney, including preparation of a written tax advice memorandum and review of depreciation schedules under Division 40 of the Income Tax Assessment Act 1997.</w:t>
            </w:r>
          </w:p>
        </w:tc>
        <w:tc>
          <w:tcPr/>
          <w:p>
            <w:pPr>
              <w:pStyle w:val="Compact"/>
              <w:jc w:val="left"/>
            </w:pPr>
            <w:r>
              <w:t xml:space="preserve">$185.00</w:t>
            </w:r>
          </w:p>
        </w:tc>
        <w:tc>
          <w:tcPr/>
          <w:p>
            <w:pPr>
              <w:pStyle w:val="Compact"/>
              <w:jc w:val="left"/>
            </w:pPr>
            <w:r>
              <w:t xml:space="preserve">6.5</w:t>
            </w:r>
          </w:p>
        </w:tc>
        <w:tc>
          <w:tcPr/>
          <w:p>
            <w:pPr>
              <w:pStyle w:val="Compact"/>
              <w:jc w:val="left"/>
            </w:pPr>
            <w:r>
              <w:t xml:space="preserve">$120.25</w:t>
            </w:r>
          </w:p>
        </w:tc>
        <w:tc>
          <w:tcPr/>
          <w:p>
            <w:pPr>
              <w:pStyle w:val="Compact"/>
              <w:jc w:val="left"/>
            </w:pPr>
            <w:r>
              <w:t xml:space="preserve">$1,320.25</w:t>
            </w:r>
          </w:p>
        </w:tc>
      </w:tr>
      <w:tr>
        <w:tc>
          <w:tcPr/>
          <w:p>
            <w:pPr>
              <w:pStyle w:val="Compact"/>
              <w:jc w:val="left"/>
            </w:pPr>
            <w:r>
              <w:t xml:space="preserve">06</w:t>
            </w:r>
          </w:p>
        </w:tc>
        <w:tc>
          <w:tcPr/>
          <w:p>
            <w:pPr>
              <w:pStyle w:val="Compact"/>
              <w:jc w:val="left"/>
            </w:pPr>
            <w:r>
              <w:t xml:space="preserve">Annual company tax return preparation and lodgement with the ATO for the financial year ending 30 June 2024, including reconciliation of tax adjustments, franking credit calculations, and review of entity tax obligations under the Corporations Act 2001 (Cth).</w:t>
            </w:r>
          </w:p>
        </w:tc>
        <w:tc>
          <w:tcPr/>
          <w:p>
            <w:pPr>
              <w:pStyle w:val="Compact"/>
              <w:jc w:val="left"/>
            </w:pPr>
            <w:r>
              <w:t xml:space="preserve">$150.00</w:t>
            </w:r>
          </w:p>
        </w:tc>
        <w:tc>
          <w:tcPr/>
          <w:p>
            <w:pPr>
              <w:pStyle w:val="Compact"/>
              <w:jc w:val="left"/>
            </w:pPr>
            <w:r>
              <w:t xml:space="preserve">10.0</w:t>
            </w:r>
          </w:p>
        </w:tc>
        <w:tc>
          <w:tcPr/>
          <w:p>
            <w:pPr>
              <w:pStyle w:val="Compact"/>
              <w:jc w:val="left"/>
            </w:pPr>
            <w:r>
              <w:t xml:space="preserve">$150.00</w:t>
            </w:r>
          </w:p>
        </w:tc>
        <w:tc>
          <w:tcPr/>
          <w:p>
            <w:pPr>
              <w:pStyle w:val="Compact"/>
              <w:jc w:val="left"/>
            </w:pPr>
            <w:r>
              <w:t xml:space="preserve">$1,650.00</w:t>
            </w:r>
          </w:p>
        </w:tc>
      </w:tr>
      <w:tr>
        <w:tc>
          <w:tcPr/>
          <w:p>
            <w:pPr>
              <w:pStyle w:val="Compact"/>
              <w:jc w:val="left"/>
            </w:pPr>
            <w:r>
              <w:t xml:space="preserve">07</w:t>
            </w:r>
          </w:p>
        </w:tc>
        <w:tc>
          <w:tcPr/>
          <w:p>
            <w:pPr>
              <w:pStyle w:val="Compact"/>
              <w:jc w:val="left"/>
            </w:pPr>
            <w:r>
              <w:t xml:space="preserve">Review and update of the company's internal financial controls and compliance checklist in accordance with the Australian Securities and Investments Commission (ASIC) reporting requirements for proprietary companies registered in New South Wales.</w:t>
            </w:r>
          </w:p>
        </w:tc>
        <w:tc>
          <w:tcPr/>
          <w:p>
            <w:pPr>
              <w:pStyle w:val="Compact"/>
              <w:jc w:val="left"/>
            </w:pPr>
            <w:r>
              <w:t xml:space="preserve">$140.00</w:t>
            </w:r>
          </w:p>
        </w:tc>
        <w:tc>
          <w:tcPr/>
          <w:p>
            <w:pPr>
              <w:pStyle w:val="Compact"/>
              <w:jc w:val="left"/>
            </w:pPr>
            <w:r>
              <w:t xml:space="preserve">5.0</w:t>
            </w:r>
          </w:p>
        </w:tc>
        <w:tc>
          <w:tcPr/>
          <w:p>
            <w:pPr>
              <w:pStyle w:val="Compact"/>
              <w:jc w:val="left"/>
            </w:pPr>
            <w:r>
              <w:t xml:space="preserve">$70.00</w:t>
            </w:r>
          </w:p>
        </w:tc>
        <w:tc>
          <w:tcPr/>
          <w:p>
            <w:pPr>
              <w:pStyle w:val="Compact"/>
              <w:jc w:val="left"/>
            </w:pPr>
            <w:r>
              <w:t xml:space="preserve">$770.00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$12,314.25</w:t>
            </w:r>
          </w:p>
        </w:tc>
      </w:tr>
      <w:tr>
        <w:tc>
          <w:tcPr/>
          <w:p>
            <w:pPr>
              <w:pStyle w:val="Compact"/>
              <w:jc w:val="left"/>
            </w:pPr>
            <w:r>
              <w:t xml:space="preserve">GST (10%)</w:t>
            </w:r>
          </w:p>
        </w:tc>
        <w:tc>
          <w:tcPr/>
          <w:p>
            <w:pPr>
              <w:pStyle w:val="Compact"/>
              <w:jc w:val="left"/>
            </w:pPr>
            <w:r>
              <w:t xml:space="preserve">$1,231.43</w:t>
            </w:r>
          </w:p>
        </w:tc>
      </w:tr>
      <w:tr>
        <w:tc>
          <w:tcPr/>
          <w:p>
            <w:pPr>
              <w:pStyle w:val="Compact"/>
              <w:jc w:val="left"/>
            </w:pPr>
            <w:r>
              <w:t xml:space="preserve">Total Amount Due (Incl. GST)</w:t>
            </w:r>
          </w:p>
        </w:tc>
        <w:tc>
          <w:tcPr/>
          <w:p>
            <w:pPr>
              <w:pStyle w:val="Compact"/>
              <w:jc w:val="left"/>
            </w:pPr>
            <w:r>
              <w:t xml:space="preserve">$13,545.68</w:t>
            </w:r>
          </w:p>
        </w:tc>
      </w:tr>
    </w:tbl>
    <w:p>
      <w:pPr>
        <w:pStyle w:val="BodyText"/>
      </w:pPr>
      <w:r>
        <w:t xml:space="preserve">All amounts are in Australian Dollars (AUD). GST is charged in accordance with the A New Tax System (Goods and Services Tax) Act 1999 (Cth). This invoice is issued by a registered tax agent in Australia, Sydney, New South Wales.</w:t>
      </w:r>
    </w:p>
    <w:bookmarkStart w:id="24" w:name="important-notes-terms"/>
    <w:p>
      <w:pPr>
        <w:pStyle w:val="Heading3"/>
      </w:pPr>
      <w:r>
        <w:t xml:space="preserve">Important Notes &amp; Terms</w:t>
      </w:r>
    </w:p>
    <w:p>
      <w:pPr>
        <w:pStyle w:val="FirstParagraph"/>
      </w:pPr>
      <w:r>
        <w:t xml:space="preserve">1. This invoice is issued by Harper &amp; Mitchell Accounting Pty Ltd, a registered accounting firm operating in Sydney, Australia. All accounting services rendered are performed in accordance with the professional standards set by CPA Australia and the Australian Accounting Standards Board (AASB).</w:t>
      </w:r>
    </w:p>
    <w:p>
      <w:pPr>
        <w:pStyle w:val="BodyText"/>
      </w:pPr>
      <w:r>
        <w:t xml:space="preserve">2. Payment is due within fourteen (14) calendar days of the invoice date. Please ensure payment is made by 30 June 2025 to avoid late payment interest charges of 1.5% per month as permitted under the Australian Consumer Law.</w:t>
      </w:r>
    </w:p>
    <w:p>
      <w:pPr>
        <w:pStyle w:val="BodyText"/>
      </w:pPr>
      <w:r>
        <w:t xml:space="preserve">3. All accounting records, working papers, and tax lodgements prepared by our accountant team are maintained in strict compliance with the Privacy Act 1988 (Cth) and the Tax Agent Services Act 2009 (Cth). Client confidentiality is maintained at all times.</w:t>
      </w:r>
    </w:p>
    <w:p>
      <w:pPr>
        <w:pStyle w:val="BodyText"/>
      </w:pPr>
      <w:r>
        <w:t xml:space="preserve">4. This invoice covers professional accounting services only. Any additional work requested outside the agreed scope of services will be invoiced separately at the applicable hourly rate.</w:t>
      </w:r>
    </w:p>
    <w:p>
      <w:pPr>
        <w:pStyle w:val="BodyText"/>
      </w:pPr>
      <w:r>
        <w:t xml:space="preserve">5. In the event of a dispute regarding any item on this invoice, please contact the undersigned accountant directly within seven (7) business days. We are committed to resolving all matters in a professional and timely manner consistent with the CPA Australia Code of Ethics.</w:t>
      </w:r>
    </w:p>
    <w:bookmarkEnd w:id="24"/>
    <w:bookmarkStart w:id="25" w:name="bank-transfer-details-australia"/>
    <w:p>
      <w:pPr>
        <w:pStyle w:val="Heading3"/>
      </w:pPr>
      <w:r>
        <w:t xml:space="preserve">Bank Transfer Details (Australia)</w:t>
      </w:r>
    </w:p>
    <w:p>
      <w:pPr>
        <w:pStyle w:val="FirstParagraph"/>
      </w:pPr>
      <w:r>
        <w:rPr>
          <w:bCs/>
          <w:b/>
        </w:rPr>
        <w:t xml:space="preserve">Bank:</w:t>
      </w:r>
      <w:r>
        <w:t xml:space="preserve"> </w:t>
      </w:r>
      <w:r>
        <w:t xml:space="preserve">Commonwealth Bank of Australia</w:t>
      </w:r>
    </w:p>
    <w:p>
      <w:pPr>
        <w:pStyle w:val="BodyText"/>
      </w:pPr>
      <w:r>
        <w:rPr>
          <w:bCs/>
          <w:b/>
        </w:rPr>
        <w:t xml:space="preserve">BSB:</w:t>
      </w:r>
      <w:r>
        <w:t xml:space="preserve"> </w:t>
      </w:r>
      <w:r>
        <w:t xml:space="preserve">063-123</w:t>
      </w:r>
    </w:p>
    <w:p>
      <w:pPr>
        <w:pStyle w:val="BodyText"/>
      </w:pPr>
      <w:r>
        <w:rPr>
          <w:bCs/>
          <w:b/>
        </w:rPr>
        <w:t xml:space="preserve">Account Name:</w:t>
      </w:r>
      <w:r>
        <w:t xml:space="preserve"> </w:t>
      </w:r>
      <w:r>
        <w:t xml:space="preserve">Harper &amp; Mitchell Accounting Pty Ltd</w:t>
      </w:r>
    </w:p>
    <w:p>
      <w:pPr>
        <w:pStyle w:val="BodyText"/>
      </w:pPr>
      <w:r>
        <w:rPr>
          <w:bCs/>
          <w:b/>
        </w:rPr>
        <w:t xml:space="preserve">Account No:</w:t>
      </w:r>
      <w:r>
        <w:t xml:space="preserve"> </w:t>
      </w:r>
      <w:r>
        <w:t xml:space="preserve">1234 5678</w:t>
      </w:r>
    </w:p>
    <w:p>
      <w:pPr>
        <w:pStyle w:val="BodyText"/>
      </w:pPr>
      <w:r>
        <w:rPr>
          <w:bCs/>
          <w:b/>
        </w:rPr>
        <w:t xml:space="preserve">Reference:</w:t>
      </w:r>
      <w:r>
        <w:t xml:space="preserve"> </w:t>
      </w:r>
      <w:r>
        <w:t xml:space="preserve">INV-2025-0487</w:t>
      </w:r>
    </w:p>
    <w:bookmarkEnd w:id="25"/>
    <w:bookmarkStart w:id="26" w:name="alternative-payment-methods"/>
    <w:p>
      <w:pPr>
        <w:pStyle w:val="Heading3"/>
      </w:pPr>
      <w:r>
        <w:t xml:space="preserve">Alternative Payment Methods</w:t>
      </w:r>
    </w:p>
    <w:p>
      <w:pPr>
        <w:pStyle w:val="FirstParagraph"/>
      </w:pPr>
      <w:r>
        <w:rPr>
          <w:bCs/>
          <w:b/>
        </w:rPr>
        <w:t xml:space="preserve">Direct Credit:</w:t>
      </w:r>
      <w:r>
        <w:t xml:space="preserve"> </w:t>
      </w:r>
      <w:r>
        <w:t xml:space="preserve">Available upon request</w:t>
      </w:r>
    </w:p>
    <w:p>
      <w:pPr>
        <w:pStyle w:val="BodyText"/>
      </w:pPr>
      <w:r>
        <w:rPr>
          <w:bCs/>
          <w:b/>
        </w:rPr>
        <w:t xml:space="preserve">Card Payment:</w:t>
      </w:r>
      <w:r>
        <w:t xml:space="preserve"> </w:t>
      </w:r>
      <w:r>
        <w:t xml:space="preserve">Visa / Mastercard accepted (1.5% surcharge applies)</w:t>
      </w:r>
    </w:p>
    <w:p>
      <w:pPr>
        <w:pStyle w:val="BodyText"/>
      </w:pPr>
      <w:r>
        <w:rPr>
          <w:bCs/>
          <w:b/>
        </w:rPr>
        <w:t xml:space="preserve">Invoice Portal:</w:t>
      </w:r>
      <w:r>
        <w:t xml:space="preserve"> </w:t>
      </w:r>
      <w:r>
        <w:t xml:space="preserve">pay.harpersmitchell.com.au</w:t>
      </w:r>
    </w:p>
    <w:p>
      <w:pPr>
        <w:pStyle w:val="BodyText"/>
      </w:pPr>
      <w:r>
        <w:rPr>
          <w:bCs/>
          <w:b/>
        </w:rPr>
        <w:t xml:space="preserve">PO Number:</w:t>
      </w:r>
      <w:r>
        <w:t xml:space="preserve"> </w:t>
      </w:r>
      <w:r>
        <w:t xml:space="preserve">MCG-PO-2025-0342</w:t>
      </w:r>
    </w:p>
    <w:bookmarkEnd w:id="26"/>
    <w:p>
      <w:pPr>
        <w:pStyle w:val="BodyText"/>
      </w:pPr>
      <w:r>
        <w:rPr>
          <w:bCs/>
          <w:b/>
        </w:rPr>
        <w:t xml:space="preserve">Harper &amp; Mitchell Accounting Pty Ltd</w:t>
      </w:r>
      <w:r>
        <w:t xml:space="preserve"> </w:t>
      </w:r>
      <w:r>
        <w:t xml:space="preserve">| ABN 48 123 456 789 | Level 12, 200 George Street, Sydney NSW 2000, Australia</w:t>
      </w:r>
    </w:p>
    <w:p>
      <w:pPr>
        <w:pStyle w:val="BodyText"/>
      </w:pPr>
      <w:r>
        <w:t xml:space="preserve">Registered Tax Agent | CPA Australia | Member of the Institute of Public Accountants (IPA) NSW Division</w:t>
      </w:r>
    </w:p>
    <w:p>
      <w:pPr>
        <w:pStyle w:val="BodyText"/>
      </w:pPr>
      <w:r>
        <w:t xml:space="preserve">This invoice was generated electronically and is valid without a signature. For queries, contact billing@harpersmitchell.com.au or call +61 2 9331 4567.</w:t>
      </w:r>
    </w:p>
    <w:p>
      <w:pPr>
        <w:pStyle w:val="BodyText"/>
      </w:pPr>
      <w:r>
        <w:t xml:space="preserve">© 2025 Harper &amp; Mitchell Accounting Pty Ltd. All rights reserved. This document is the property of the issuing accountant and is intended solely for the named recipient in Sydney,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Sydney Accountant Services</dc:title>
  <dc:creator/>
  <dc:language>en</dc:language>
  <cp:keywords/>
  <dcterms:created xsi:type="dcterms:W3CDTF">2026-10-10T09:10:41Z</dcterms:created>
  <dcterms:modified xsi:type="dcterms:W3CDTF">2026-10-10T09:10:41Z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