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Accountant</w:t>
      </w:r>
      <w:r>
        <w:t xml:space="preserve"> </w:t>
      </w:r>
      <w:r>
        <w:t xml:space="preserve">Services</w:t>
      </w:r>
      <w:r>
        <w:t xml:space="preserve"> </w:t>
      </w:r>
      <w:r>
        <w:t xml:space="preserve">-</w:t>
      </w:r>
      <w:r>
        <w:t xml:space="preserve"> </w:t>
      </w:r>
      <w:r>
        <w:t xml:space="preserve">Bangladesh</w:t>
      </w:r>
      <w:r>
        <w:t xml:space="preserve"> </w:t>
      </w:r>
      <w:r>
        <w:t xml:space="preserve">Dhaka</w:t>
      </w:r>
    </w:p>
    <w:bookmarkStart w:id="20" w:name="X94b8b8e7f2e34089070f1df56428b44f5128eaf"/>
    <w:p>
      <w:pPr>
        <w:pStyle w:val="Heading1"/>
      </w:pPr>
      <w:r>
        <w:t xml:space="preserve">Dhaka Professional Accountant Services Ltd.</w:t>
      </w:r>
    </w:p>
    <w:p>
      <w:pPr>
        <w:pStyle w:val="FirstParagraph"/>
      </w:pPr>
      <w:r>
        <w:t xml:space="preserve">House 42, Road 11, Banani, Dhaka 1213, Bangladesh</w:t>
      </w:r>
    </w:p>
    <w:p>
      <w:pPr>
        <w:pStyle w:val="BodyText"/>
      </w:pPr>
      <w:r>
        <w:t xml:space="preserve">Tel: +880-2-9887654 | Email: billing@dhakaaccountant.com.bd</w:t>
      </w:r>
    </w:p>
    <w:p>
      <w:pPr>
        <w:pStyle w:val="BodyText"/>
      </w:pPr>
      <w:r>
        <w:t xml:space="preserve">TIN: 004567891 | VAT Reg. No: 001234567-0101</w:t>
      </w:r>
    </w:p>
    <w:bookmarkEnd w:id="20"/>
    <w:bookmarkStart w:id="21" w:name="invoice"/>
    <w:p>
      <w:pPr>
        <w:pStyle w:val="Heading2"/>
      </w:pPr>
      <w:r>
        <w:t xml:space="preserve">INVOICE</w:t>
      </w:r>
    </w:p>
    <w:p>
      <w:pPr>
        <w:pStyle w:val="FirstParagraph"/>
      </w:pPr>
      <w:r>
        <w:t xml:space="preserve">Invoice No: DPA-2025-00487</w:t>
      </w:r>
    </w:p>
    <w:p>
      <w:pPr>
        <w:pStyle w:val="BodyText"/>
      </w:pPr>
      <w:r>
        <w:t xml:space="preserve">Date: 15 June 2025</w:t>
      </w:r>
    </w:p>
    <w:p>
      <w:pPr>
        <w:pStyle w:val="BodyText"/>
      </w:pPr>
      <w:r>
        <w:t xml:space="preserve">Due Date: 30 June 2025</w:t>
      </w:r>
    </w:p>
    <w:p>
      <w:pPr>
        <w:pStyle w:val="BodyText"/>
      </w:pPr>
      <w:r>
        <w:t xml:space="preserve">PENDING PAYMENT</w:t>
      </w:r>
    </w:p>
    <w:bookmarkEnd w:id="21"/>
    <w:bookmarkStart w:id="22" w:name="bill-to-client"/>
    <w:p>
      <w:pPr>
        <w:pStyle w:val="Heading3"/>
      </w:pPr>
      <w:r>
        <w:t xml:space="preserve">Bill To (Client)</w:t>
      </w:r>
    </w:p>
    <w:p>
      <w:pPr>
        <w:pStyle w:val="FirstParagraph"/>
      </w:pPr>
      <w:r>
        <w:rPr>
          <w:bCs/>
          <w:b/>
        </w:rPr>
        <w:t xml:space="preserve">Mr. Abdul Karim Chowdhury</w:t>
      </w:r>
    </w:p>
    <w:p>
      <w:pPr>
        <w:pStyle w:val="BodyText"/>
      </w:pPr>
      <w:r>
        <w:t xml:space="preserve">Managing Director, Karim Textiles &amp; Trading Co.</w:t>
      </w:r>
    </w:p>
    <w:p>
      <w:pPr>
        <w:pStyle w:val="BodyText"/>
      </w:pPr>
      <w:r>
        <w:t xml:space="preserve">Plot 7, Sector 10, Uttara, Dhaka 1230, Bangladesh</w:t>
      </w:r>
    </w:p>
    <w:p>
      <w:pPr>
        <w:pStyle w:val="BodyText"/>
      </w:pPr>
      <w:r>
        <w:t xml:space="preserve">TIN: 009876543</w:t>
      </w:r>
    </w:p>
    <w:bookmarkEnd w:id="22"/>
    <w:bookmarkStart w:id="23" w:name="service-provider"/>
    <w:p>
      <w:pPr>
        <w:pStyle w:val="Heading3"/>
      </w:pPr>
      <w:r>
        <w:t xml:space="preserve">Service Provider</w:t>
      </w:r>
    </w:p>
    <w:p>
      <w:pPr>
        <w:pStyle w:val="FirstParagraph"/>
      </w:pPr>
      <w:r>
        <w:rPr>
          <w:bCs/>
          <w:b/>
        </w:rPr>
        <w:t xml:space="preserve">Ms. Farhana Rahman, CPA</w:t>
      </w:r>
    </w:p>
    <w:p>
      <w:pPr>
        <w:pStyle w:val="BodyText"/>
      </w:pPr>
      <w:r>
        <w:t xml:space="preserve">Senior Accountant &amp; Tax Consultant</w:t>
      </w:r>
    </w:p>
    <w:p>
      <w:pPr>
        <w:pStyle w:val="BodyText"/>
      </w:pPr>
      <w:r>
        <w:t xml:space="preserve">Dhaka Professional Accountant Services Ltd.</w:t>
      </w:r>
    </w:p>
    <w:p>
      <w:pPr>
        <w:pStyle w:val="BodyText"/>
      </w:pPr>
      <w:r>
        <w:t xml:space="preserve">Banani, Dhaka, Bangladesh</w:t>
      </w:r>
    </w:p>
    <w:bookmarkEnd w:id="23"/>
    <w:bookmarkStart w:id="24" w:name="invoice-details"/>
    <w:p>
      <w:pPr>
        <w:pStyle w:val="Heading3"/>
      </w:pPr>
      <w:r>
        <w:t xml:space="preserve">Invoice Details</w:t>
      </w:r>
    </w:p>
    <w:p>
      <w:pPr>
        <w:pStyle w:val="FirstParagraph"/>
      </w:pPr>
      <w:r>
        <w:t xml:space="preserve">Period: April 2025 – June 2025</w:t>
      </w:r>
    </w:p>
    <w:p>
      <w:pPr>
        <w:pStyle w:val="BodyText"/>
      </w:pPr>
      <w:r>
        <w:t xml:space="preserve">Service Type: Monthly Accounting &amp; Tax Filing</w:t>
      </w:r>
    </w:p>
    <w:p>
      <w:pPr>
        <w:pStyle w:val="BodyText"/>
      </w:pPr>
      <w:r>
        <w:t xml:space="preserve">Reference: Contract No. KTC-2025-012</w:t>
      </w:r>
    </w:p>
    <w:bookmarkEnd w:id="24"/>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Accountant Services</w:t>
            </w:r>
          </w:p>
        </w:tc>
        <w:tc>
          <w:tcPr/>
          <w:p>
            <w:pPr>
              <w:pStyle w:val="Compact"/>
              <w:jc w:val="left"/>
            </w:pPr>
            <w:r>
              <w:t xml:space="preserve">Quantity</w:t>
            </w:r>
          </w:p>
        </w:tc>
        <w:tc>
          <w:tcPr/>
          <w:p>
            <w:pPr>
              <w:pStyle w:val="Compact"/>
              <w:jc w:val="left"/>
            </w:pPr>
            <w:r>
              <w:t xml:space="preserve">Rate (BDT)</w:t>
            </w:r>
          </w:p>
        </w:tc>
        <w:tc>
          <w:tcPr/>
          <w:p>
            <w:pPr>
              <w:pStyle w:val="Compact"/>
              <w:jc w:val="left"/>
            </w:pPr>
            <w:r>
              <w:t xml:space="preserve">Amount (BDT)</w:t>
            </w:r>
          </w:p>
        </w:tc>
      </w:tr>
      <w:tr>
        <w:tc>
          <w:tcPr/>
          <w:p>
            <w:pPr>
              <w:pStyle w:val="Compact"/>
              <w:jc w:val="left"/>
            </w:pPr>
            <w:r>
              <w:t xml:space="preserve">1</w:t>
            </w:r>
          </w:p>
        </w:tc>
        <w:tc>
          <w:tcPr/>
          <w:p>
            <w:pPr>
              <w:pStyle w:val="Compact"/>
              <w:jc w:val="left"/>
            </w:pPr>
            <w:r>
              <w:t xml:space="preserve">Monthly bookkeeping and ledger maintenance for Karim Textiles &amp; Trading Co. — preparation of journal entries, general ledger updates, and trial balance reconciliation performed by the assigned Accountant team in Bangladesh Dhaka.</w:t>
            </w:r>
          </w:p>
        </w:tc>
        <w:tc>
          <w:tcPr/>
          <w:p>
            <w:pPr>
              <w:pStyle w:val="Compact"/>
              <w:jc w:val="left"/>
            </w:pPr>
            <w:r>
              <w:t xml:space="preserve">3 months</w:t>
            </w:r>
          </w:p>
        </w:tc>
        <w:tc>
          <w:tcPr/>
          <w:p>
            <w:pPr>
              <w:pStyle w:val="Compact"/>
              <w:jc w:val="left"/>
            </w:pPr>
            <w:r>
              <w:t xml:space="preserve">25,000.00</w:t>
            </w:r>
          </w:p>
        </w:tc>
        <w:tc>
          <w:tcPr/>
          <w:p>
            <w:pPr>
              <w:pStyle w:val="Compact"/>
              <w:jc w:val="left"/>
            </w:pPr>
            <w:r>
              <w:t xml:space="preserve">75,000.00</w:t>
            </w:r>
          </w:p>
        </w:tc>
      </w:tr>
      <w:tr>
        <w:tc>
          <w:tcPr/>
          <w:p>
            <w:pPr>
              <w:pStyle w:val="Compact"/>
              <w:jc w:val="left"/>
            </w:pPr>
            <w:r>
              <w:t xml:space="preserve">2</w:t>
            </w:r>
          </w:p>
        </w:tc>
        <w:tc>
          <w:tcPr/>
          <w:p>
            <w:pPr>
              <w:pStyle w:val="Compact"/>
              <w:jc w:val="left"/>
            </w:pPr>
            <w:r>
              <w:t xml:space="preserve">Preparation and submission of quarterly VAT returns (Form VAT-01) to the National Board of Revenue, Dhaka Circle. The Accountant ensured all input tax credits and output tax liabilities were accurately calculated and filed within the statutory deadline.</w:t>
            </w:r>
          </w:p>
        </w:tc>
        <w:tc>
          <w:tcPr/>
          <w:p>
            <w:pPr>
              <w:pStyle w:val="Compact"/>
              <w:jc w:val="left"/>
            </w:pPr>
            <w:r>
              <w:t xml:space="preserve">1 filing</w:t>
            </w:r>
          </w:p>
        </w:tc>
        <w:tc>
          <w:tcPr/>
          <w:p>
            <w:pPr>
              <w:pStyle w:val="Compact"/>
              <w:jc w:val="left"/>
            </w:pPr>
            <w:r>
              <w:t xml:space="preserve">12,000.00</w:t>
            </w:r>
          </w:p>
        </w:tc>
        <w:tc>
          <w:tcPr/>
          <w:p>
            <w:pPr>
              <w:pStyle w:val="Compact"/>
              <w:jc w:val="left"/>
            </w:pPr>
            <w:r>
              <w:t xml:space="preserve">12,000.00</w:t>
            </w:r>
          </w:p>
        </w:tc>
      </w:tr>
      <w:tr>
        <w:tc>
          <w:tcPr/>
          <w:p>
            <w:pPr>
              <w:pStyle w:val="Compact"/>
              <w:jc w:val="left"/>
            </w:pPr>
            <w:r>
              <w:t xml:space="preserve">3</w:t>
            </w:r>
          </w:p>
        </w:tc>
        <w:tc>
          <w:tcPr/>
          <w:p>
            <w:pPr>
              <w:pStyle w:val="Compact"/>
              <w:jc w:val="left"/>
            </w:pPr>
            <w:r>
              <w:t xml:space="preserve">Monthly payroll processing for 45 employees including TDS (Tax Deducted at Source) calculation, social security contributions (EPS), and generation of salary registers. The Accountant verified all deductions against the Income Tax Ordinance 1984 applicable in Bangladesh.</w:t>
            </w:r>
          </w:p>
        </w:tc>
        <w:tc>
          <w:tcPr/>
          <w:p>
            <w:pPr>
              <w:pStyle w:val="Compact"/>
              <w:jc w:val="left"/>
            </w:pPr>
            <w:r>
              <w:t xml:space="preserve">3 months</w:t>
            </w:r>
          </w:p>
        </w:tc>
        <w:tc>
          <w:tcPr/>
          <w:p>
            <w:pPr>
              <w:pStyle w:val="Compact"/>
              <w:jc w:val="left"/>
            </w:pPr>
            <w:r>
              <w:t xml:space="preserve">18,000.00</w:t>
            </w:r>
          </w:p>
        </w:tc>
        <w:tc>
          <w:tcPr/>
          <w:p>
            <w:pPr>
              <w:pStyle w:val="Compact"/>
              <w:jc w:val="left"/>
            </w:pPr>
            <w:r>
              <w:t xml:space="preserve">54,000.00</w:t>
            </w:r>
          </w:p>
        </w:tc>
      </w:tr>
      <w:tr>
        <w:tc>
          <w:tcPr/>
          <w:p>
            <w:pPr>
              <w:pStyle w:val="Compact"/>
              <w:jc w:val="left"/>
            </w:pPr>
            <w:r>
              <w:t xml:space="preserve">4</w:t>
            </w:r>
          </w:p>
        </w:tc>
        <w:tc>
          <w:tcPr/>
          <w:p>
            <w:pPr>
              <w:pStyle w:val="Compact"/>
              <w:jc w:val="left"/>
            </w:pPr>
            <w:r>
              <w:t xml:space="preserve">Preparation of monthly management accounts including Profit &amp; Loss Statement, Balance Sheet, and Cash Flow Statement. The Accountant provided variance analysis and financial commentary to the Managing Director for strategic decision-making in Bangladesh Dhaka.</w:t>
            </w:r>
          </w:p>
        </w:tc>
        <w:tc>
          <w:tcPr/>
          <w:p>
            <w:pPr>
              <w:pStyle w:val="Compact"/>
              <w:jc w:val="left"/>
            </w:pPr>
            <w:r>
              <w:t xml:space="preserve">3 months</w:t>
            </w:r>
          </w:p>
        </w:tc>
        <w:tc>
          <w:tcPr/>
          <w:p>
            <w:pPr>
              <w:pStyle w:val="Compact"/>
              <w:jc w:val="left"/>
            </w:pPr>
            <w:r>
              <w:t xml:space="preserve">15,000.00</w:t>
            </w:r>
          </w:p>
        </w:tc>
        <w:tc>
          <w:tcPr/>
          <w:p>
            <w:pPr>
              <w:pStyle w:val="Compact"/>
              <w:jc w:val="left"/>
            </w:pPr>
            <w:r>
              <w:t xml:space="preserve">45,000.00</w:t>
            </w:r>
          </w:p>
        </w:tc>
      </w:tr>
      <w:tr>
        <w:tc>
          <w:tcPr/>
          <w:p>
            <w:pPr>
              <w:pStyle w:val="Compact"/>
              <w:jc w:val="left"/>
            </w:pPr>
            <w:r>
              <w:t xml:space="preserve">5</w:t>
            </w:r>
          </w:p>
        </w:tc>
        <w:tc>
          <w:tcPr/>
          <w:p>
            <w:pPr>
              <w:pStyle w:val="Compact"/>
              <w:jc w:val="left"/>
            </w:pPr>
            <w:r>
              <w:t xml:space="preserve">Bank reconciliation and cash flow monitoring. The Accountant reconciled all bank statements (City Bank, BRAC Bank, and Islami Bank accounts) against the company's general ledger to identify discrepancies and ensure accurate financial reporting.</w:t>
            </w:r>
          </w:p>
        </w:tc>
        <w:tc>
          <w:tcPr/>
          <w:p>
            <w:pPr>
              <w:pStyle w:val="Compact"/>
              <w:jc w:val="left"/>
            </w:pPr>
            <w:r>
              <w:t xml:space="preserve">3 months</w:t>
            </w:r>
          </w:p>
        </w:tc>
        <w:tc>
          <w:tcPr/>
          <w:p>
            <w:pPr>
              <w:pStyle w:val="Compact"/>
              <w:jc w:val="left"/>
            </w:pPr>
            <w:r>
              <w:t xml:space="preserve">10,000.00</w:t>
            </w:r>
          </w:p>
        </w:tc>
        <w:tc>
          <w:tcPr/>
          <w:p>
            <w:pPr>
              <w:pStyle w:val="Compact"/>
              <w:jc w:val="left"/>
            </w:pPr>
            <w:r>
              <w:t xml:space="preserve">30,000.00</w:t>
            </w:r>
          </w:p>
        </w:tc>
      </w:tr>
      <w:tr>
        <w:tc>
          <w:tcPr/>
          <w:p>
            <w:pPr>
              <w:pStyle w:val="Compact"/>
              <w:jc w:val="left"/>
            </w:pPr>
            <w:r>
              <w:t xml:space="preserve">6</w:t>
            </w:r>
          </w:p>
        </w:tc>
        <w:tc>
          <w:tcPr/>
          <w:p>
            <w:pPr>
              <w:pStyle w:val="Compact"/>
              <w:jc w:val="left"/>
            </w:pPr>
            <w:r>
              <w:t xml:space="preserve">Tax advisory and compliance consultation. The Accountant conducted two in-person advisory sessions at the client's office in Uttara, Dhaka, addressing questions regarding corporate tax planning, transfer pricing documentation, and upcoming changes in the Bangladesh Finance Act 2025.</w:t>
            </w:r>
          </w:p>
        </w:tc>
        <w:tc>
          <w:tcPr/>
          <w:p>
            <w:pPr>
              <w:pStyle w:val="Compact"/>
              <w:jc w:val="left"/>
            </w:pPr>
            <w:r>
              <w:t xml:space="preserve">2 sessions</w:t>
            </w:r>
          </w:p>
        </w:tc>
        <w:tc>
          <w:tcPr/>
          <w:p>
            <w:pPr>
              <w:pStyle w:val="Compact"/>
              <w:jc w:val="left"/>
            </w:pPr>
            <w:r>
              <w:t xml:space="preserve">8,000.00</w:t>
            </w:r>
          </w:p>
        </w:tc>
        <w:tc>
          <w:tcPr/>
          <w:p>
            <w:pPr>
              <w:pStyle w:val="Compact"/>
              <w:jc w:val="left"/>
            </w:pPr>
            <w:r>
              <w:t xml:space="preserve">16,000.00</w:t>
            </w:r>
          </w:p>
        </w:tc>
      </w:tr>
      <w:tr>
        <w:tc>
          <w:tcPr/>
          <w:p>
            <w:pPr>
              <w:pStyle w:val="Compact"/>
              <w:jc w:val="left"/>
            </w:pPr>
            <w:r>
              <w:t xml:space="preserve">7</w:t>
            </w:r>
          </w:p>
        </w:tc>
        <w:tc>
          <w:tcPr/>
          <w:p>
            <w:pPr>
              <w:pStyle w:val="Compact"/>
              <w:jc w:val="left"/>
            </w:pPr>
            <w:r>
              <w:t xml:space="preserve">Annual audit preparation support. The Accountant organized and indexed all supporting documents, prepared schedules for the external auditor, and conducted pre-audit meetings to streamline the statutory audit process for the fiscal year ending 30 June 2025.</w:t>
            </w:r>
          </w:p>
        </w:tc>
        <w:tc>
          <w:tcPr/>
          <w:p>
            <w:pPr>
              <w:pStyle w:val="Compact"/>
              <w:jc w:val="left"/>
            </w:pPr>
            <w:r>
              <w:t xml:space="preserve">1 engagement</w:t>
            </w:r>
          </w:p>
        </w:tc>
        <w:tc>
          <w:tcPr/>
          <w:p>
            <w:pPr>
              <w:pStyle w:val="Compact"/>
              <w:jc w:val="left"/>
            </w:pPr>
            <w:r>
              <w:t xml:space="preserve">20,000.00</w:t>
            </w:r>
          </w:p>
        </w:tc>
        <w:tc>
          <w:tcPr/>
          <w:p>
            <w:pPr>
              <w:pStyle w:val="Compact"/>
              <w:jc w:val="left"/>
            </w:pPr>
            <w:r>
              <w:t xml:space="preserve">20,000.00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BDT 252,000.00</w:t>
            </w:r>
          </w:p>
        </w:tc>
      </w:tr>
      <w:tr>
        <w:tc>
          <w:tcPr/>
          <w:p>
            <w:pPr>
              <w:pStyle w:val="Compact"/>
              <w:jc w:val="left"/>
            </w:pPr>
            <w:r>
              <w:t xml:space="preserve">VAT @ 15% (as per Bangladesh VAT Act 1991)</w:t>
            </w:r>
          </w:p>
        </w:tc>
        <w:tc>
          <w:tcPr/>
          <w:p>
            <w:pPr>
              <w:pStyle w:val="Compact"/>
              <w:jc w:val="left"/>
            </w:pPr>
            <w:r>
              <w:t xml:space="preserve">BDT 37,800.00</w:t>
            </w:r>
          </w:p>
        </w:tc>
      </w:tr>
      <w:tr>
        <w:tc>
          <w:tcPr/>
          <w:p>
            <w:pPr>
              <w:pStyle w:val="Compact"/>
              <w:jc w:val="left"/>
            </w:pPr>
            <w:r>
              <w:t xml:space="preserve">Service Tax @ 5% (as per Income Tax Ordinance 1984)</w:t>
            </w:r>
          </w:p>
        </w:tc>
        <w:tc>
          <w:tcPr/>
          <w:p>
            <w:pPr>
              <w:pStyle w:val="Compact"/>
              <w:jc w:val="left"/>
            </w:pPr>
            <w:r>
              <w:t xml:space="preserve">BDT 12,600.00</w:t>
            </w:r>
          </w:p>
        </w:tc>
      </w:tr>
      <w:tr>
        <w:tc>
          <w:tcPr/>
          <w:p>
            <w:pPr>
              <w:pStyle w:val="Compact"/>
              <w:jc w:val="left"/>
            </w:pPr>
            <w:r>
              <w:t xml:space="preserve">Discount (Early Payment – 2%)</w:t>
            </w:r>
          </w:p>
        </w:tc>
        <w:tc>
          <w:tcPr/>
          <w:p>
            <w:pPr>
              <w:pStyle w:val="Compact"/>
              <w:jc w:val="left"/>
            </w:pPr>
            <w:r>
              <w:t xml:space="preserve">- BDT 5,040.00</w:t>
            </w:r>
          </w:p>
        </w:tc>
      </w:tr>
      <w:tr>
        <w:tc>
          <w:tcPr/>
          <w:p>
            <w:pPr>
              <w:pStyle w:val="Compact"/>
              <w:jc w:val="left"/>
            </w:pPr>
            <w:r>
              <w:t xml:space="preserve">GRAND TOTAL DUE</w:t>
            </w:r>
          </w:p>
        </w:tc>
        <w:tc>
          <w:tcPr/>
          <w:p>
            <w:pPr>
              <w:pStyle w:val="Compact"/>
              <w:jc w:val="left"/>
            </w:pPr>
            <w:r>
              <w:t xml:space="preserve">BDT 297,360.00</w:t>
            </w:r>
          </w:p>
        </w:tc>
      </w:tr>
    </w:tbl>
    <w:bookmarkStart w:id="25" w:name="payment-instructions"/>
    <w:p>
      <w:pPr>
        <w:pStyle w:val="Heading3"/>
      </w:pPr>
      <w:r>
        <w:t xml:space="preserve">Payment Instructions</w:t>
      </w:r>
    </w:p>
    <w:p>
      <w:pPr>
        <w:pStyle w:val="FirstParagraph"/>
      </w:pPr>
      <w:r>
        <w:t xml:space="preserve">Please remit payment of</w:t>
      </w:r>
      <w:r>
        <w:t xml:space="preserve"> </w:t>
      </w:r>
      <w:r>
        <w:rPr>
          <w:bCs/>
          <w:b/>
        </w:rPr>
        <w:t xml:space="preserve">BDT 297,360.00 (Two Hundred Ninety-Seven Thousand Three Hundred Sixty Taka Only)</w:t>
      </w:r>
      <w:r>
        <w:t xml:space="preserve"> </w:t>
      </w:r>
      <w:r>
        <w:t xml:space="preserve">within 15 days of this Invoice date.</w:t>
      </w:r>
    </w:p>
    <w:p>
      <w:pPr>
        <w:pStyle w:val="BodyText"/>
      </w:pPr>
      <w:r>
        <w:rPr>
          <w:bCs/>
          <w:b/>
        </w:rPr>
        <w:t xml:space="preserve">Bank:</w:t>
      </w:r>
      <w:r>
        <w:t xml:space="preserve"> </w:t>
      </w:r>
      <w:r>
        <w:t xml:space="preserve">City Bank, Bangladesh</w:t>
      </w:r>
    </w:p>
    <w:p>
      <w:pPr>
        <w:pStyle w:val="BodyText"/>
      </w:pPr>
      <w:r>
        <w:rPr>
          <w:bCs/>
          <w:b/>
        </w:rPr>
        <w:t xml:space="preserve">Branch:</w:t>
      </w:r>
      <w:r>
        <w:t xml:space="preserve"> </w:t>
      </w:r>
      <w:r>
        <w:t xml:space="preserve">Banani, Dhaka</w:t>
      </w:r>
    </w:p>
    <w:p>
      <w:pPr>
        <w:pStyle w:val="BodyText"/>
      </w:pPr>
      <w:r>
        <w:rPr>
          <w:bCs/>
          <w:b/>
        </w:rPr>
        <w:t xml:space="preserve">Account Name:</w:t>
      </w:r>
      <w:r>
        <w:t xml:space="preserve"> </w:t>
      </w:r>
      <w:r>
        <w:t xml:space="preserve">Dhaka Professional Accountant Services Ltd.</w:t>
      </w:r>
    </w:p>
    <w:p>
      <w:pPr>
        <w:pStyle w:val="BodyText"/>
      </w:pPr>
      <w:r>
        <w:rPr>
          <w:bCs/>
          <w:b/>
        </w:rPr>
        <w:t xml:space="preserve">Account No:</w:t>
      </w:r>
      <w:r>
        <w:t xml:space="preserve"> </w:t>
      </w:r>
      <w:r>
        <w:t xml:space="preserve">1010-00456789-001</w:t>
      </w:r>
    </w:p>
    <w:p>
      <w:pPr>
        <w:pStyle w:val="BodyText"/>
      </w:pPr>
      <w:r>
        <w:rPr>
          <w:bCs/>
          <w:b/>
        </w:rPr>
        <w:t xml:space="preserve">SWIFT Code:</w:t>
      </w:r>
      <w:r>
        <w:t xml:space="preserve"> </w:t>
      </w:r>
      <w:r>
        <w:t xml:space="preserve">CIBLBD22</w:t>
      </w:r>
    </w:p>
    <w:p>
      <w:pPr>
        <w:pStyle w:val="BodyText"/>
      </w:pPr>
      <w:r>
        <w:rPr>
          <w:bCs/>
          <w:b/>
        </w:rPr>
        <w:t xml:space="preserve">Payment Reference:</w:t>
      </w:r>
      <w:r>
        <w:t xml:space="preserve"> </w:t>
      </w:r>
      <w:r>
        <w:t xml:space="preserve">Please quote Invoice No. DPA-2025-00487 in your remittance advice.</w:t>
      </w:r>
    </w:p>
    <w:bookmarkEnd w:id="25"/>
    <w:bookmarkStart w:id="26" w:name="terms-conditions-of-this-invoice"/>
    <w:p>
      <w:pPr>
        <w:pStyle w:val="Heading3"/>
      </w:pPr>
      <w:r>
        <w:t xml:space="preserve">Terms &amp; Conditions of this Invoice</w:t>
      </w:r>
    </w:p>
    <w:p>
      <w:pPr>
        <w:numPr>
          <w:ilvl w:val="0"/>
          <w:numId w:val="1001"/>
        </w:numPr>
        <w:pStyle w:val="Compact"/>
      </w:pPr>
      <w:r>
        <w:t xml:space="preserve">This Invoice is issued by Dhaka Professional Accountant Services Ltd., a registered professional Accountant firm operating in Bangladesh Dhaka, and is governed by the laws of the People's Republic of Bangladesh.</w:t>
      </w:r>
    </w:p>
    <w:p>
      <w:pPr>
        <w:numPr>
          <w:ilvl w:val="0"/>
          <w:numId w:val="1001"/>
        </w:numPr>
        <w:pStyle w:val="Compact"/>
      </w:pPr>
      <w:r>
        <w:t xml:space="preserve">Payment is due within 15 calendar days from the Invoice date. Late payments shall attract a penalty interest of 1.5% per month as per the Bangladesh Bank guidelines.</w:t>
      </w:r>
    </w:p>
    <w:p>
      <w:pPr>
        <w:numPr>
          <w:ilvl w:val="0"/>
          <w:numId w:val="1001"/>
        </w:numPr>
        <w:pStyle w:val="Compact"/>
      </w:pPr>
      <w:r>
        <w:t xml:space="preserve">All accounting services rendered by the Accountant team are subject to the professional standards set by the Institute of Chartered Accountants of Bangladesh (ICAB).</w:t>
      </w:r>
    </w:p>
    <w:p>
      <w:pPr>
        <w:numPr>
          <w:ilvl w:val="0"/>
          <w:numId w:val="1001"/>
        </w:numPr>
        <w:pStyle w:val="Compact"/>
      </w:pPr>
      <w:r>
        <w:t xml:space="preserve">The client agrees to provide all necessary financial documents, bank statements, and supporting records to the Accountant within 5 business days of each month-end to ensure timely completion of this Invoice's scope of work.</w:t>
      </w:r>
    </w:p>
    <w:p>
      <w:pPr>
        <w:numPr>
          <w:ilvl w:val="0"/>
          <w:numId w:val="1001"/>
        </w:numPr>
        <w:pStyle w:val="Compact"/>
      </w:pPr>
      <w:r>
        <w:t xml:space="preserve">Confidentiality: All financial data, ledgers, and tax records shared with the Accountant in Bangladesh Dhaka shall be treated as strictly confidential and shall not be disclosed to any third party without written consent.</w:t>
      </w:r>
    </w:p>
    <w:p>
      <w:pPr>
        <w:numPr>
          <w:ilvl w:val="0"/>
          <w:numId w:val="1001"/>
        </w:numPr>
        <w:pStyle w:val="Compact"/>
      </w:pPr>
      <w:r>
        <w:t xml:space="preserve">This Invoice is valid for 30 days from the date of issue. After the due date, the Accountant reserves the right to suspend ongoing services until payment is received in full.</w:t>
      </w:r>
    </w:p>
    <w:p>
      <w:pPr>
        <w:numPr>
          <w:ilvl w:val="0"/>
          <w:numId w:val="1001"/>
        </w:numPr>
        <w:pStyle w:val="Compact"/>
      </w:pPr>
      <w:r>
        <w:t xml:space="preserve">Any disputes arising from this Invoice shall be resolved through arbitration in Dhaka, Bangladesh, in accordance with the Arbitration Act 2001.</w:t>
      </w:r>
    </w:p>
    <w:p>
      <w:pPr>
        <w:numPr>
          <w:ilvl w:val="0"/>
          <w:numId w:val="1001"/>
        </w:numPr>
        <w:pStyle w:val="Compact"/>
      </w:pPr>
      <w:r>
        <w:t xml:space="preserve">The Accountant is not liable for any penalties or interest imposed by the National Board of Revenue due to incorrect or incomplete information provided by the client.</w:t>
      </w:r>
    </w:p>
    <w:bookmarkEnd w:id="26"/>
    <w:p>
      <w:pPr>
        <w:pStyle w:val="FirstParagraph"/>
      </w:pPr>
      <w:r>
        <w:rPr>
          <w:bCs/>
          <w:b/>
        </w:rPr>
        <w:t xml:space="preserve">Dhaka Professional Accountant Services Ltd.</w:t>
      </w:r>
      <w:r>
        <w:t xml:space="preserve"> </w:t>
      </w:r>
      <w:r>
        <w:t xml:space="preserve">— Trusted Accountant Services in Bangladesh Dhaka Since 2008</w:t>
      </w:r>
    </w:p>
    <w:p>
      <w:pPr>
        <w:pStyle w:val="BodyText"/>
      </w:pPr>
      <w:r>
        <w:t xml:space="preserve">This Invoice was generated electronically and is valid without a physical signature. For verification, contact billing@dhakaaccountant.com.bd or call +880-2-9887654.</w:t>
      </w:r>
    </w:p>
    <w:p>
      <w:pPr>
        <w:pStyle w:val="BodyText"/>
      </w:pPr>
      <w:r>
        <w:t xml:space="preserve">Thank you for choosing our Accountant services in Bangladesh Dhaka. We look forward to continuing our professional relationship.</w:t>
      </w:r>
    </w:p>
    <w:p>
      <w:pPr>
        <w:pStyle w:val="BodyText"/>
      </w:pPr>
      <w:r>
        <w:t xml:space="preserve">© 2025 Dhaka Professional Accountant Services Ltd. All Rights Reserved. | TIN: 004567891 | VAT: 001234567-0101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Accountant Services - Bangladesh Dhaka</dc:title>
  <dc:creator/>
  <dc:language>en</dc:language>
  <cp:keywords/>
  <dcterms:created xsi:type="dcterms:W3CDTF">2026-10-10T12:43:34Z</dcterms:created>
  <dcterms:modified xsi:type="dcterms:W3CDTF">2026-10-10T12:43:34Z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