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Professional Accounting Services</w:t>
      </w:r>
    </w:p>
    <w:p>
      <w:pPr>
        <w:pStyle w:val="BodyText"/>
      </w:pPr>
      <w:r>
        <w:t xml:space="preserve">China Beijing</w:t>
      </w:r>
    </w:p>
    <w:p>
      <w:pPr>
        <w:pStyle w:val="BodyText"/>
      </w:pPr>
      <w:r>
        <w:rPr>
          <w:bCs/>
          <w:b/>
        </w:rPr>
        <w:t xml:space="preserve">Invoice Number:</w:t>
      </w:r>
      <w:r>
        <w:t xml:space="preserve"> </w:t>
      </w:r>
      <w:r>
        <w:t xml:space="preserve">INV-BJ-2025-00472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1 – June 30, 2025</w:t>
      </w:r>
    </w:p>
    <w:p>
      <w:pPr>
        <w:pStyle w:val="BodyText"/>
      </w:pPr>
      <w:r>
        <w:rPr>
          <w:bCs/>
          <w:b/>
        </w:rPr>
        <w:t xml:space="preserve">Payment Terms:</w:t>
      </w:r>
      <w:r>
        <w:t xml:space="preserve"> </w:t>
      </w:r>
      <w:r>
        <w:t xml:space="preserve">Net 30 Days</w:t>
      </w:r>
    </w:p>
    <w:bookmarkStart w:id="20" w:name="issued-by-accountant"/>
    <w:p>
      <w:pPr>
        <w:pStyle w:val="Heading3"/>
      </w:pPr>
      <w:r>
        <w:t xml:space="preserve">Issued By (Accountant)</w:t>
      </w:r>
    </w:p>
    <w:p>
      <w:pPr>
        <w:pStyle w:val="FirstParagraph"/>
      </w:pPr>
      <w:r>
        <w:rPr>
          <w:bCs/>
          <w:b/>
        </w:rPr>
        <w:t xml:space="preserve">Beijing Capital Accounting &amp; Advisory Firm Co., Ltd.</w:t>
      </w:r>
    </w:p>
    <w:p>
      <w:pPr>
        <w:pStyle w:val="BodyText"/>
      </w:pPr>
      <w:r>
        <w:t xml:space="preserve">Lead Accountant: Mr. Zhang Wei, CPA (China Certified Public Accountant)</w:t>
      </w:r>
    </w:p>
    <w:p>
      <w:pPr>
        <w:pStyle w:val="BodyText"/>
      </w:pPr>
      <w:r>
        <w:t xml:space="preserve">Office: 28th Floor, China World Tower, No. 1 Jianguomenwai Avenue</w:t>
      </w:r>
    </w:p>
    <w:p>
      <w:pPr>
        <w:pStyle w:val="BodyText"/>
      </w:pPr>
      <w:r>
        <w:t xml:space="preserve">Chaoyang District, Beijing 100020, People's Republic of China</w:t>
      </w:r>
    </w:p>
    <w:p>
      <w:pPr>
        <w:pStyle w:val="BodyText"/>
      </w:pPr>
      <w:r>
        <w:t xml:space="preserve">Tax Registration No. (TIN): 91110105MA01XXXX2K</w:t>
      </w:r>
    </w:p>
    <w:p>
      <w:pPr>
        <w:pStyle w:val="BodyText"/>
      </w:pPr>
      <w:r>
        <w:t xml:space="preserve">Phone: +86-10-6505-8899</w:t>
      </w:r>
    </w:p>
    <w:p>
      <w:pPr>
        <w:pStyle w:val="BodyText"/>
      </w:pPr>
      <w:r>
        <w:t xml:space="preserve">Email: billing@bjcapitalaccounting.cn</w:t>
      </w:r>
    </w:p>
    <w:bookmarkEnd w:id="20"/>
    <w:bookmarkStart w:id="21" w:name="billed-to-client"/>
    <w:p>
      <w:pPr>
        <w:pStyle w:val="Heading3"/>
      </w:pPr>
      <w:r>
        <w:t xml:space="preserve">Billed To (Client)</w:t>
      </w:r>
    </w:p>
    <w:p>
      <w:pPr>
        <w:pStyle w:val="FirstParagraph"/>
      </w:pPr>
      <w:r>
        <w:rPr>
          <w:bCs/>
          <w:b/>
        </w:rPr>
        <w:t xml:space="preserve">Shenzhen Horizon Technology Group Co., Ltd.</w:t>
      </w:r>
    </w:p>
    <w:p>
      <w:pPr>
        <w:pStyle w:val="BodyText"/>
      </w:pPr>
      <w:r>
        <w:t xml:space="preserve">Attn: Ms. Li Fang, Chief Financial Officer</w:t>
      </w:r>
    </w:p>
    <w:p>
      <w:pPr>
        <w:pStyle w:val="BodyText"/>
      </w:pPr>
      <w:r>
        <w:t xml:space="preserve">Office: 12th Floor, Zhongguancun Science Park, No. 88 Zhongguancun Street</w:t>
      </w:r>
    </w:p>
    <w:p>
      <w:pPr>
        <w:pStyle w:val="BodyText"/>
      </w:pPr>
      <w:r>
        <w:t xml:space="preserve">Haidian District, Beijing 100080, People's Republic of China</w:t>
      </w:r>
    </w:p>
    <w:p>
      <w:pPr>
        <w:pStyle w:val="BodyText"/>
      </w:pPr>
      <w:r>
        <w:t xml:space="preserve">Tax Registration No. (TIN): 91110108MA02XXXX7P</w:t>
      </w:r>
    </w:p>
    <w:p>
      <w:pPr>
        <w:pStyle w:val="BodyText"/>
      </w:pPr>
      <w:r>
        <w:t xml:space="preserve">Phone: +86-10-8256-3344</w:t>
      </w:r>
    </w:p>
    <w:p>
      <w:pPr>
        <w:pStyle w:val="BodyText"/>
      </w:pPr>
      <w:r>
        <w:t xml:space="preserve">Email: cfo@shenzhenhorizontech.com</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Accounting Services</w:t>
            </w:r>
          </w:p>
        </w:tc>
        <w:tc>
          <w:tcPr/>
          <w:p>
            <w:pPr>
              <w:pStyle w:val="Compact"/>
              <w:jc w:val="left"/>
            </w:pPr>
            <w:r>
              <w:t xml:space="preserve">Rate (CNY)</w:t>
            </w:r>
          </w:p>
        </w:tc>
        <w:tc>
          <w:tcPr/>
          <w:p>
            <w:pPr>
              <w:pStyle w:val="Compact"/>
              <w:jc w:val="left"/>
            </w:pPr>
            <w:r>
              <w:t xml:space="preserve">Hours / Units</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01</w:t>
            </w:r>
          </w:p>
        </w:tc>
        <w:tc>
          <w:tcPr/>
          <w:p>
            <w:pPr>
              <w:pStyle w:val="Compact"/>
              <w:jc w:val="left"/>
            </w:pPr>
            <w:r>
              <w:rPr>
                <w:bCs/>
                <w:b/>
              </w:rPr>
              <w:t xml:space="preserve">Monthly Financial Bookkeeping &amp; Ledger Maintenance</w:t>
            </w:r>
          </w:p>
          <w:p>
            <w:pPr>
              <w:jc w:val="left"/>
            </w:pPr>
            <w:r>
              <w:t xml:space="preserve">Comprehensive bookkeeping services performed by the assigned Accountant team in China Beijing, including journal entries, general ledger updates, accounts payable and receivable reconciliation, and monthly trial balance preparation in accordance with Chinese Accounting Standards (CAS).</w:t>
            </w:r>
          </w:p>
        </w:tc>
        <w:tc>
          <w:tcPr/>
          <w:p>
            <w:pPr>
              <w:pStyle w:val="Compact"/>
              <w:jc w:val="left"/>
            </w:pPr>
            <w:r>
              <w:t xml:space="preserve">450.00</w:t>
            </w:r>
          </w:p>
        </w:tc>
        <w:tc>
          <w:tcPr/>
          <w:p>
            <w:pPr>
              <w:pStyle w:val="Compact"/>
              <w:jc w:val="left"/>
            </w:pPr>
            <w:r>
              <w:t xml:space="preserve">120 hrs</w:t>
            </w:r>
          </w:p>
        </w:tc>
        <w:tc>
          <w:tcPr/>
          <w:p>
            <w:pPr>
              <w:pStyle w:val="Compact"/>
              <w:jc w:val="left"/>
            </w:pPr>
            <w:r>
              <w:t xml:space="preserve">54,000.00</w:t>
            </w:r>
          </w:p>
        </w:tc>
        <w:tc>
          <w:tcPr/>
          <w:p>
            <w:pPr>
              <w:pStyle w:val="Compact"/>
              <w:jc w:val="left"/>
            </w:pPr>
            <w:r>
              <w:t xml:space="preserve">6% VAT</w:t>
            </w:r>
          </w:p>
        </w:tc>
      </w:tr>
      <w:tr>
        <w:tc>
          <w:tcPr/>
          <w:p>
            <w:pPr>
              <w:pStyle w:val="Compact"/>
              <w:jc w:val="left"/>
            </w:pPr>
            <w:r>
              <w:t xml:space="preserve">02</w:t>
            </w:r>
          </w:p>
        </w:tc>
        <w:tc>
          <w:tcPr/>
          <w:p>
            <w:pPr>
              <w:pStyle w:val="Compact"/>
              <w:jc w:val="left"/>
            </w:pPr>
            <w:r>
              <w:rPr>
                <w:bCs/>
                <w:b/>
              </w:rPr>
              <w:t xml:space="preserve">Quarterly Financial Statement Preparation &amp; Analysis</w:t>
            </w:r>
          </w:p>
          <w:p>
            <w:pPr>
              <w:jc w:val="left"/>
            </w:pPr>
            <w:r>
              <w:t xml:space="preserve">Preparation of quarterly balance sheets, income statements, and cash flow statements by the senior Accountant. Includes variance analysis, management commentary, and compliance review for regulatory filings in China Beijing.</w:t>
            </w:r>
          </w:p>
        </w:tc>
        <w:tc>
          <w:tcPr/>
          <w:p>
            <w:pPr>
              <w:pStyle w:val="Compact"/>
              <w:jc w:val="left"/>
            </w:pPr>
            <w:r>
              <w:t xml:space="preserve">8,500.00</w:t>
            </w:r>
          </w:p>
        </w:tc>
        <w:tc>
          <w:tcPr/>
          <w:p>
            <w:pPr>
              <w:pStyle w:val="Compact"/>
              <w:jc w:val="left"/>
            </w:pPr>
            <w:r>
              <w:t xml:space="preserve">2 quarters</w:t>
            </w:r>
          </w:p>
        </w:tc>
        <w:tc>
          <w:tcPr/>
          <w:p>
            <w:pPr>
              <w:pStyle w:val="Compact"/>
              <w:jc w:val="left"/>
            </w:pPr>
            <w:r>
              <w:t xml:space="preserve">17,000.00</w:t>
            </w:r>
          </w:p>
        </w:tc>
        <w:tc>
          <w:tcPr/>
          <w:p>
            <w:pPr>
              <w:pStyle w:val="Compact"/>
              <w:jc w:val="left"/>
            </w:pPr>
            <w:r>
              <w:t xml:space="preserve">6% VAT</w:t>
            </w:r>
          </w:p>
        </w:tc>
      </w:tr>
      <w:tr>
        <w:tc>
          <w:tcPr/>
          <w:p>
            <w:pPr>
              <w:pStyle w:val="Compact"/>
              <w:jc w:val="left"/>
            </w:pPr>
            <w:r>
              <w:t xml:space="preserve">03</w:t>
            </w:r>
          </w:p>
        </w:tc>
        <w:tc>
          <w:tcPr/>
          <w:p>
            <w:pPr>
              <w:pStyle w:val="Compact"/>
              <w:jc w:val="left"/>
            </w:pPr>
            <w:r>
              <w:rPr>
                <w:bCs/>
                <w:b/>
              </w:rPr>
              <w:t xml:space="preserve">Corporate Income Tax Filing &amp; Advisory</w:t>
            </w:r>
          </w:p>
          <w:p>
            <w:pPr>
              <w:jc w:val="left"/>
            </w:pPr>
            <w:r>
              <w:t xml:space="preserve">Preparation and electronic submission of corporate income tax returns (CIT) for the first half of 2025. The Accountant provides advisory on tax optimization, transfer pricing documentation, and compliance with State Taxation Administration (STA) regulations applicable in China Beijing.</w:t>
            </w:r>
          </w:p>
        </w:tc>
        <w:tc>
          <w:tcPr/>
          <w:p>
            <w:pPr>
              <w:pStyle w:val="Compact"/>
              <w:jc w:val="left"/>
            </w:pPr>
            <w:r>
              <w:t xml:space="preserve">12,000.00</w:t>
            </w:r>
          </w:p>
        </w:tc>
        <w:tc>
          <w:tcPr/>
          <w:p>
            <w:pPr>
              <w:pStyle w:val="Compact"/>
              <w:jc w:val="left"/>
            </w:pPr>
            <w:r>
              <w:t xml:space="preserve">1 filing</w:t>
            </w:r>
          </w:p>
        </w:tc>
        <w:tc>
          <w:tcPr/>
          <w:p>
            <w:pPr>
              <w:pStyle w:val="Compact"/>
              <w:jc w:val="left"/>
            </w:pPr>
            <w:r>
              <w:t xml:space="preserve">12,000.00</w:t>
            </w:r>
          </w:p>
        </w:tc>
        <w:tc>
          <w:tcPr/>
          <w:p>
            <w:pPr>
              <w:pStyle w:val="Compact"/>
              <w:jc w:val="left"/>
            </w:pPr>
            <w:r>
              <w:t xml:space="preserve">6% VAT</w:t>
            </w:r>
          </w:p>
        </w:tc>
      </w:tr>
      <w:tr>
        <w:tc>
          <w:tcPr/>
          <w:p>
            <w:pPr>
              <w:pStyle w:val="Compact"/>
              <w:jc w:val="left"/>
            </w:pPr>
            <w:r>
              <w:t xml:space="preserve">04</w:t>
            </w:r>
          </w:p>
        </w:tc>
        <w:tc>
          <w:tcPr/>
          <w:p>
            <w:pPr>
              <w:pStyle w:val="Compact"/>
              <w:jc w:val="left"/>
            </w:pPr>
            <w:r>
              <w:rPr>
                <w:bCs/>
                <w:b/>
              </w:rPr>
              <w:t xml:space="preserve">Value-Added Tax (VAT) Compliance &amp; Filing</w:t>
            </w:r>
          </w:p>
          <w:p>
            <w:pPr>
              <w:jc w:val="left"/>
            </w:pPr>
            <w:r>
              <w:t xml:space="preserve">Monthly VAT return preparation, input tax credit reconciliation, and e-invoice (fapiao) management. The Accountant ensures all VAT obligations are met under the current tax framework in China Beijing, including special invoice issuance and verification.</w:t>
            </w:r>
          </w:p>
        </w:tc>
        <w:tc>
          <w:tcPr/>
          <w:p>
            <w:pPr>
              <w:pStyle w:val="Compact"/>
              <w:jc w:val="left"/>
            </w:pPr>
            <w:r>
              <w:t xml:space="preserve">3,200.00</w:t>
            </w:r>
          </w:p>
        </w:tc>
        <w:tc>
          <w:tcPr/>
          <w:p>
            <w:pPr>
              <w:pStyle w:val="Compact"/>
              <w:jc w:val="left"/>
            </w:pPr>
            <w:r>
              <w:t xml:space="preserve">6 months</w:t>
            </w:r>
          </w:p>
        </w:tc>
        <w:tc>
          <w:tcPr/>
          <w:p>
            <w:pPr>
              <w:pStyle w:val="Compact"/>
              <w:jc w:val="left"/>
            </w:pPr>
            <w:r>
              <w:t xml:space="preserve">19,200.00</w:t>
            </w:r>
          </w:p>
        </w:tc>
        <w:tc>
          <w:tcPr/>
          <w:p>
            <w:pPr>
              <w:pStyle w:val="Compact"/>
              <w:jc w:val="left"/>
            </w:pPr>
            <w:r>
              <w:t xml:space="preserve">6% VAT</w:t>
            </w:r>
          </w:p>
        </w:tc>
      </w:tr>
      <w:tr>
        <w:tc>
          <w:tcPr/>
          <w:p>
            <w:pPr>
              <w:pStyle w:val="Compact"/>
              <w:jc w:val="left"/>
            </w:pPr>
            <w:r>
              <w:t xml:space="preserve">05</w:t>
            </w:r>
          </w:p>
        </w:tc>
        <w:tc>
          <w:tcPr/>
          <w:p>
            <w:pPr>
              <w:pStyle w:val="Compact"/>
              <w:jc w:val="left"/>
            </w:pPr>
            <w:r>
              <w:rPr>
                <w:bCs/>
                <w:b/>
              </w:rPr>
              <w:t xml:space="preserve">Payroll Accounting &amp; Social Security Reconciliation</w:t>
            </w:r>
          </w:p>
          <w:p>
            <w:pPr>
              <w:jc w:val="left"/>
            </w:pPr>
            <w:r>
              <w:t xml:space="preserve">Monthly payroll processing for 85 employees, including individual income tax (IIT) withholding calculations, social insurance and housing fund contributions, and statutory benefit compliance. The Accountant coordinates with the local Human Resources and Social Security Bureau in China Beijing.</w:t>
            </w:r>
          </w:p>
        </w:tc>
        <w:tc>
          <w:tcPr/>
          <w:p>
            <w:pPr>
              <w:pStyle w:val="Compact"/>
              <w:jc w:val="left"/>
            </w:pPr>
            <w:r>
              <w:t xml:space="preserve">5,800.00</w:t>
            </w:r>
          </w:p>
        </w:tc>
        <w:tc>
          <w:tcPr/>
          <w:p>
            <w:pPr>
              <w:pStyle w:val="Compact"/>
              <w:jc w:val="left"/>
            </w:pPr>
            <w:r>
              <w:t xml:space="preserve">6 months</w:t>
            </w:r>
          </w:p>
        </w:tc>
        <w:tc>
          <w:tcPr/>
          <w:p>
            <w:pPr>
              <w:pStyle w:val="Compact"/>
              <w:jc w:val="left"/>
            </w:pPr>
            <w:r>
              <w:t xml:space="preserve">34,800.00</w:t>
            </w:r>
          </w:p>
        </w:tc>
        <w:tc>
          <w:tcPr/>
          <w:p>
            <w:pPr>
              <w:pStyle w:val="Compact"/>
              <w:jc w:val="left"/>
            </w:pPr>
            <w:r>
              <w:t xml:space="preserve">6% VAT</w:t>
            </w:r>
          </w:p>
        </w:tc>
      </w:tr>
      <w:tr>
        <w:tc>
          <w:tcPr/>
          <w:p>
            <w:pPr>
              <w:pStyle w:val="Compact"/>
              <w:jc w:val="left"/>
            </w:pPr>
            <w:r>
              <w:t xml:space="preserve">06</w:t>
            </w:r>
          </w:p>
        </w:tc>
        <w:tc>
          <w:tcPr/>
          <w:p>
            <w:pPr>
              <w:pStyle w:val="Compact"/>
              <w:jc w:val="left"/>
            </w:pPr>
            <w:r>
              <w:rPr>
                <w:bCs/>
                <w:b/>
              </w:rPr>
              <w:t xml:space="preserve">Annual Audit Support &amp; Internal Controls Review</w:t>
            </w:r>
          </w:p>
          <w:p>
            <w:pPr>
              <w:jc w:val="left"/>
            </w:pPr>
            <w:r>
              <w:t xml:space="preserve">Interim audit preparation, documentation of internal control procedures, and coordination with external auditors. The Accountant prepares the audit file, schedules, and management representations in preparation for the full-year statutory audit of the China Beijing entity.</w:t>
            </w:r>
          </w:p>
        </w:tc>
        <w:tc>
          <w:tcPr/>
          <w:p>
            <w:pPr>
              <w:pStyle w:val="Compact"/>
              <w:jc w:val="left"/>
            </w:pPr>
            <w:r>
              <w:t xml:space="preserve">15,000.00</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6% VAT</w:t>
            </w:r>
          </w:p>
        </w:tc>
      </w:tr>
      <w:tr>
        <w:tc>
          <w:tcPr/>
          <w:p>
            <w:pPr>
              <w:pStyle w:val="Compact"/>
              <w:jc w:val="left"/>
            </w:pPr>
            <w:r>
              <w:t xml:space="preserve">07</w:t>
            </w:r>
          </w:p>
        </w:tc>
        <w:tc>
          <w:tcPr/>
          <w:p>
            <w:pPr>
              <w:pStyle w:val="Compact"/>
              <w:jc w:val="left"/>
            </w:pPr>
            <w:r>
              <w:rPr>
                <w:bCs/>
                <w:b/>
              </w:rPr>
              <w:t xml:space="preserve">Regulatory Reporting &amp; Government Liaison</w:t>
            </w:r>
          </w:p>
          <w:p>
            <w:pPr>
              <w:jc w:val="left"/>
            </w:pPr>
            <w:r>
              <w:t xml:space="preserve">Filing of annual industrial and commercial registration updates, statistical bureau reports, and foreign investment filings. The Accountant serves as the primary liaison with the Beijing Municipal Market Supervision Administration and relevant government bodies in China Beijing.</w:t>
            </w:r>
          </w:p>
        </w:tc>
        <w:tc>
          <w:tcPr/>
          <w:p>
            <w:pPr>
              <w:pStyle w:val="Compact"/>
              <w:jc w:val="left"/>
            </w:pPr>
            <w:r>
              <w:t xml:space="preserve">6,500.00</w:t>
            </w:r>
          </w:p>
        </w:tc>
        <w:tc>
          <w:tcPr/>
          <w:p>
            <w:pPr>
              <w:pStyle w:val="Compact"/>
              <w:jc w:val="left"/>
            </w:pPr>
            <w:r>
              <w:t xml:space="preserve">1 engagement</w:t>
            </w:r>
          </w:p>
        </w:tc>
        <w:tc>
          <w:tcPr/>
          <w:p>
            <w:pPr>
              <w:pStyle w:val="Compact"/>
              <w:jc w:val="left"/>
            </w:pPr>
            <w:r>
              <w:t xml:space="preserve">6,500.00</w:t>
            </w:r>
          </w:p>
        </w:tc>
        <w:tc>
          <w:tcPr/>
          <w:p>
            <w:pPr>
              <w:pStyle w:val="Compact"/>
              <w:jc w:val="left"/>
            </w:pPr>
            <w:r>
              <w:t xml:space="preserve">6% VAT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158,500.00</w:t>
            </w:r>
          </w:p>
        </w:tc>
      </w:tr>
      <w:tr>
        <w:tc>
          <w:tcPr/>
          <w:p>
            <w:pPr>
              <w:pStyle w:val="Compact"/>
              <w:jc w:val="left"/>
            </w:pPr>
            <w:r>
              <w:t xml:space="preserve">VAT @ 6% (CNY)</w:t>
            </w:r>
          </w:p>
        </w:tc>
        <w:tc>
          <w:tcPr/>
          <w:p>
            <w:pPr>
              <w:pStyle w:val="Compact"/>
              <w:jc w:val="left"/>
            </w:pPr>
            <w:r>
              <w:t xml:space="preserve">9,510.00</w:t>
            </w:r>
          </w:p>
        </w:tc>
      </w:tr>
      <w:tr>
        <w:tc>
          <w:tcPr/>
          <w:p>
            <w:pPr>
              <w:pStyle w:val="Compact"/>
              <w:jc w:val="left"/>
            </w:pPr>
            <w:r>
              <w:t xml:space="preserve">Discount – Early Payment (2%)</w:t>
            </w:r>
          </w:p>
        </w:tc>
        <w:tc>
          <w:tcPr/>
          <w:p>
            <w:pPr>
              <w:pStyle w:val="Compact"/>
              <w:jc w:val="left"/>
            </w:pPr>
            <w:r>
              <w:t xml:space="preserve">(3,170.00)</w:t>
            </w:r>
          </w:p>
        </w:tc>
      </w:tr>
      <w:tr>
        <w:tc>
          <w:tcPr/>
          <w:p>
            <w:pPr>
              <w:pStyle w:val="Compact"/>
              <w:jc w:val="left"/>
            </w:pPr>
            <w:r>
              <w:t xml:space="preserve">Grand Total Due (CNY)</w:t>
            </w:r>
          </w:p>
        </w:tc>
        <w:tc>
          <w:tcPr/>
          <w:p>
            <w:pPr>
              <w:pStyle w:val="Compact"/>
              <w:jc w:val="left"/>
            </w:pPr>
            <w:r>
              <w:t xml:space="preserve">164,840.00</w:t>
            </w:r>
          </w:p>
        </w:tc>
      </w:tr>
    </w:tbl>
    <w:bookmarkStart w:id="22" w:name="payment-instructions-important-notes"/>
    <w:p>
      <w:pPr>
        <w:pStyle w:val="Heading4"/>
      </w:pPr>
      <w:r>
        <w:t xml:space="preserve">Payment Instructions &amp; Important Notes</w:t>
      </w:r>
    </w:p>
    <w:p>
      <w:pPr>
        <w:pStyle w:val="FirstParagraph"/>
      </w:pPr>
      <w:r>
        <w:rPr>
          <w:bCs/>
          <w:b/>
        </w:rPr>
        <w:t xml:space="preserve">Bank Transfer Details:</w:t>
      </w:r>
      <w:r>
        <w:t xml:space="preserve"> </w:t>
      </w:r>
      <w:r>
        <w:t xml:space="preserve">This Invoice must be settled via bank wire transfer to the following account. Please reference Invoice Number INV-BJ-2025-00472 in the payment remittance.</w:t>
      </w:r>
    </w:p>
    <w:p>
      <w:pPr>
        <w:pStyle w:val="BodyText"/>
      </w:pPr>
      <w:r>
        <w:rPr>
          <w:bCs/>
          <w:b/>
        </w:rPr>
        <w:t xml:space="preserve">Bank Name:</w:t>
      </w:r>
      <w:r>
        <w:t xml:space="preserve"> </w:t>
      </w:r>
      <w:r>
        <w:t xml:space="preserve">Industrial and Commercial Bank of China (ICBC), Beijing Chaoyang Branch</w:t>
      </w:r>
    </w:p>
    <w:p>
      <w:pPr>
        <w:pStyle w:val="BodyText"/>
      </w:pPr>
      <w:r>
        <w:rPr>
          <w:bCs/>
          <w:b/>
        </w:rPr>
        <w:t xml:space="preserve">Account Name:</w:t>
      </w:r>
      <w:r>
        <w:t xml:space="preserve"> </w:t>
      </w:r>
      <w:r>
        <w:t xml:space="preserve">Beijing Capital Accounting &amp; Advisory Firm Co., Ltd.</w:t>
      </w:r>
    </w:p>
    <w:p>
      <w:pPr>
        <w:pStyle w:val="BodyText"/>
      </w:pPr>
      <w:r>
        <w:rPr>
          <w:bCs/>
          <w:b/>
        </w:rPr>
        <w:t xml:space="preserve">Account Number:</w:t>
      </w:r>
      <w:r>
        <w:t xml:space="preserve"> </w:t>
      </w:r>
      <w:r>
        <w:t xml:space="preserve">0200 0045 0920 0123 456</w:t>
      </w:r>
    </w:p>
    <w:p>
      <w:pPr>
        <w:pStyle w:val="BodyText"/>
      </w:pPr>
      <w:r>
        <w:rPr>
          <w:bCs/>
          <w:b/>
        </w:rPr>
        <w:t xml:space="preserve">SWIFT Code:</w:t>
      </w:r>
      <w:r>
        <w:t xml:space="preserve"> </w:t>
      </w:r>
      <w:r>
        <w:t xml:space="preserve">ICBKCNBJ110</w:t>
      </w:r>
    </w:p>
    <w:p>
      <w:pPr>
        <w:pStyle w:val="BodyText"/>
      </w:pPr>
      <w:r>
        <w:rPr>
          <w:bCs/>
          <w:b/>
        </w:rPr>
        <w:t xml:space="preserve">Currency:</w:t>
      </w:r>
      <w:r>
        <w:t xml:space="preserve"> </w:t>
      </w:r>
      <w:r>
        <w:t xml:space="preserve">Chinese Yuan (CNY / RMB)</w:t>
      </w:r>
    </w:p>
    <w:p>
      <w:pPr>
        <w:pStyle w:val="BodyText"/>
      </w:pPr>
      <w:r>
        <w:rPr>
          <w:bCs/>
          <w:b/>
        </w:rPr>
        <w:t xml:space="preserve">Terms &amp; Conditions:</w:t>
      </w:r>
      <w:r>
        <w:t xml:space="preserve"> </w:t>
      </w:r>
      <w:r>
        <w:t xml:space="preserve">This Invoice represents the final billing for all accounting and advisory services rendered by the Accountant team during the period of January 1, 2025, through June 30, 2025. All services were performed in compliance with the Accounting Law of the People's Republic of China, the Company Law, and applicable regulations of the Ministry of Finance. Payment is due within thirty (30) calendar days from the Invoice date. A late payment surcharge of 0.05% per day shall apply to any outstanding balance after the due date. This Invoice is valid for one hundred and eighty (180) days from the date of issue. Any disputes regarding the services or the amounts stated on this Invoice shall be resolved through negotiation, and failing that, through arbitration at the Beijing Arbitration Commission in accordance with its rules. The Accountant firm reserves the right to suspend services upon non-payment beyond fifteen (15) days past the due date.</w:t>
      </w:r>
    </w:p>
    <w:p>
      <w:pPr>
        <w:pStyle w:val="BodyText"/>
      </w:pPr>
      <w:r>
        <w:rPr>
          <w:bCs/>
          <w:b/>
        </w:rPr>
        <w:t xml:space="preserve">Compliance Statement:</w:t>
      </w:r>
      <w:r>
        <w:t xml:space="preserve"> </w:t>
      </w:r>
      <w:r>
        <w:t xml:space="preserve">All financial records, tax filings, and regulatory submissions referenced in this Invoice have been prepared and maintained in strict accordance with the Chinese Accounting Standards for Business Enterprises (CAS) and the regulations of the State Taxation Administration. The Accountant confirms that all e-invoices (fapiao) have been properly issued and registered in the national tax system. This document serves as the official Invoice for tax deduction purposes under the VAT regulations effective in China Beijing.</w:t>
      </w:r>
    </w:p>
    <w:bookmarkEnd w:id="22"/>
    <w:p>
      <w:pPr>
        <w:pStyle w:val="BodyText"/>
      </w:pPr>
      <w:r>
        <w:rPr>
          <w:bCs/>
          <w:b/>
        </w:rPr>
        <w:t xml:space="preserve">Beijing Capital Accounting &amp; Advisory Firm Co., Ltd.</w:t>
      </w:r>
      <w:r>
        <w:t xml:space="preserve"> </w:t>
      </w:r>
      <w:r>
        <w:t xml:space="preserve">| 28F, China World Tower, No. 1 Jianguomenwai Ave, Chaoyang, Beijing 100020, PRC</w:t>
      </w:r>
    </w:p>
    <w:p>
      <w:pPr>
        <w:pStyle w:val="BodyText"/>
      </w:pPr>
      <w:r>
        <w:t xml:space="preserve">License No. 110105MA01XXXX2K | Registered with the Beijing Institute of Certified Public Accountants</w:t>
      </w:r>
    </w:p>
    <w:p>
      <w:pPr>
        <w:pStyle w:val="BodyText"/>
      </w:pPr>
      <w:r>
        <w:t xml:space="preserve">This Invoice was generated electronically and is valid without a physical stamp. For verification, contact the issuing Accountant at billing@bjcapitalaccounting.cn or +86-10-6505-8899.</w:t>
      </w:r>
    </w:p>
    <w:p>
      <w:pPr>
        <w:pStyle w:val="BodyText"/>
      </w:pPr>
      <w:r>
        <w:t xml:space="preserve">© 2025 Beijing Capital Accounting &amp; Advisory Firm Co., Ltd. All rights reserved. Invoice INV-BJ-2025-00472.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Accounting Services - China Beijing</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