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Accountant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GZ-ACC-2025-0047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p>
      <w:pPr>
        <w:pStyle w:val="BodyText"/>
      </w:pPr>
      <w:r>
        <w:rPr>
          <w:bCs/>
          <w:b/>
        </w:rPr>
        <w:t xml:space="preserve">Currency:</w:t>
      </w:r>
      <w:r>
        <w:t xml:space="preserve"> </w:t>
      </w:r>
      <w:r>
        <w:t xml:space="preserve">CNY (RMB)</w:t>
      </w:r>
    </w:p>
    <w:bookmarkEnd w:id="20"/>
    <w:bookmarkStart w:id="21" w:name="from-service-provider"/>
    <w:p>
      <w:pPr>
        <w:pStyle w:val="Heading4"/>
      </w:pPr>
      <w:r>
        <w:t xml:space="preserve">From (Service Provider)</w:t>
      </w:r>
    </w:p>
    <w:p>
      <w:pPr>
        <w:pStyle w:val="FirstParagraph"/>
      </w:pPr>
      <w:r>
        <w:rPr>
          <w:bCs/>
          <w:b/>
        </w:rPr>
        <w:t xml:space="preserve">Guangzhou Precision Accountant &amp; Advisory Co., Ltd.</w:t>
      </w:r>
    </w:p>
    <w:p>
      <w:pPr>
        <w:pStyle w:val="BodyText"/>
      </w:pPr>
      <w:r>
        <w:t xml:space="preserve">Unit 1208, Tower B, Tianhe Business Center</w:t>
      </w:r>
    </w:p>
    <w:p>
      <w:pPr>
        <w:pStyle w:val="BodyText"/>
      </w:pPr>
      <w:r>
        <w:t xml:space="preserve">Tianhe District, Guangzhou, Guangdong Province</w:t>
      </w:r>
    </w:p>
    <w:p>
      <w:pPr>
        <w:pStyle w:val="BodyText"/>
      </w:pPr>
      <w:r>
        <w:t xml:space="preserve">China, 510620</w:t>
      </w:r>
    </w:p>
    <w:p>
      <w:pPr>
        <w:pStyle w:val="BodyText"/>
      </w:pPr>
      <w:r>
        <w:t xml:space="preserve">Tax ID (USCC): 91440101MA5C8X7K2P</w:t>
      </w:r>
    </w:p>
    <w:p>
      <w:pPr>
        <w:pStyle w:val="BodyText"/>
      </w:pPr>
      <w:r>
        <w:t xml:space="preserve">Contact: Mr. Liang Wei, Senior Accountant</w:t>
      </w:r>
    </w:p>
    <w:p>
      <w:pPr>
        <w:pStyle w:val="BodyText"/>
      </w:pPr>
      <w:r>
        <w:t xml:space="preserve">Email: billing@gzprecision-accountant.cn</w:t>
      </w:r>
    </w:p>
    <w:p>
      <w:pPr>
        <w:pStyle w:val="BodyText"/>
      </w:pPr>
      <w:r>
        <w:t xml:space="preserve">Phone: +86-20-8876-5432</w:t>
      </w:r>
    </w:p>
    <w:bookmarkEnd w:id="21"/>
    <w:bookmarkStart w:id="22" w:name="bill-to-client"/>
    <w:p>
      <w:pPr>
        <w:pStyle w:val="Heading4"/>
      </w:pPr>
      <w:r>
        <w:t xml:space="preserve">Bill To (Client)</w:t>
      </w:r>
    </w:p>
    <w:p>
      <w:pPr>
        <w:pStyle w:val="FirstParagraph"/>
      </w:pPr>
      <w:r>
        <w:rPr>
          <w:bCs/>
          <w:b/>
        </w:rPr>
        <w:t xml:space="preserve">Guangzhou Horizon Trading &amp; Logistics Co., Ltd.</w:t>
      </w:r>
    </w:p>
    <w:p>
      <w:pPr>
        <w:pStyle w:val="BodyText"/>
      </w:pPr>
      <w:r>
        <w:t xml:space="preserve">Room 502, Building 3, Huangpu Industrial Park</w:t>
      </w:r>
    </w:p>
    <w:p>
      <w:pPr>
        <w:pStyle w:val="BodyText"/>
      </w:pPr>
      <w:r>
        <w:t xml:space="preserve">Huangpu District, Guangzhou, Guangdong Province</w:t>
      </w:r>
    </w:p>
    <w:p>
      <w:pPr>
        <w:pStyle w:val="BodyText"/>
      </w:pPr>
      <w:r>
        <w:t xml:space="preserve">China, 510700</w:t>
      </w:r>
    </w:p>
    <w:p>
      <w:pPr>
        <w:pStyle w:val="BodyText"/>
      </w:pPr>
      <w:r>
        <w:t xml:space="preserve">Tax ID (USCC): 91440112MA9D3F2L8Q</w:t>
      </w:r>
    </w:p>
    <w:p>
      <w:pPr>
        <w:pStyle w:val="BodyText"/>
      </w:pPr>
      <w:r>
        <w:t xml:space="preserve">Attn: Ms. Zhang Yufen, Finance Director</w:t>
      </w:r>
    </w:p>
    <w:p>
      <w:pPr>
        <w:pStyle w:val="BodyText"/>
      </w:pPr>
      <w:r>
        <w:t xml:space="preserve">Email: finance@ghorizon-trading.cn</w:t>
      </w:r>
    </w:p>
    <w:p>
      <w:pPr>
        <w:pStyle w:val="BodyText"/>
      </w:pPr>
      <w:r>
        <w:t xml:space="preserve">Phone: +86-20-3345-6789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Monthly financial statement preparation and reconciliation for Q2 2025 (April–June), including balance sheet, income statement, and cash flow statement in compliance with Chinese Accounting Standards (CAS)</w:t>
            </w:r>
          </w:p>
        </w:tc>
        <w:tc>
          <w:tcPr/>
          <w:p>
            <w:pPr>
              <w:pStyle w:val="Compact"/>
              <w:jc w:val="left"/>
            </w:pPr>
            <w:r>
              <w:t xml:space="preserve">48 hrs</w:t>
            </w:r>
          </w:p>
        </w:tc>
        <w:tc>
          <w:tcPr/>
          <w:p>
            <w:pPr>
              <w:pStyle w:val="Compact"/>
              <w:jc w:val="left"/>
            </w:pPr>
            <w:r>
              <w:t xml:space="preserve">¥ 350.00</w:t>
            </w:r>
          </w:p>
        </w:tc>
        <w:tc>
          <w:tcPr/>
          <w:p>
            <w:pPr>
              <w:pStyle w:val="Compact"/>
              <w:jc w:val="left"/>
            </w:pPr>
            <w:r>
              <w:t xml:space="preserve">¥ 16,800.00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Corporate income tax filing and quarterly prepayment calculation for Guangzhou Horizon Trading &amp; Logistics Co., Ltd., submitted to the Guangzhou Municipal Tax Bureau</w:t>
            </w:r>
          </w:p>
        </w:tc>
        <w:tc>
          <w:tcPr/>
          <w:p>
            <w:pPr>
              <w:pStyle w:val="Compact"/>
              <w:jc w:val="left"/>
            </w:pPr>
            <w:r>
              <w:t xml:space="preserve">24 hrs</w:t>
            </w:r>
          </w:p>
        </w:tc>
        <w:tc>
          <w:tcPr/>
          <w:p>
            <w:pPr>
              <w:pStyle w:val="Compact"/>
              <w:jc w:val="left"/>
            </w:pPr>
            <w:r>
              <w:t xml:space="preserve">¥ 400.00</w:t>
            </w:r>
          </w:p>
        </w:tc>
        <w:tc>
          <w:tcPr/>
          <w:p>
            <w:pPr>
              <w:pStyle w:val="Compact"/>
              <w:jc w:val="left"/>
            </w:pPr>
            <w:r>
              <w:t xml:space="preserve">¥ 9,600.00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VAT (Value-Added Tax) return preparation and e-invoice (fapiao) management for the quarter, including input/output tax reconciliation and filing via the Guangzhou Electronic Tax Bureau portal</w:t>
            </w:r>
          </w:p>
        </w:tc>
        <w:tc>
          <w:tcPr/>
          <w:p>
            <w:pPr>
              <w:pStyle w:val="Compact"/>
              <w:jc w:val="left"/>
            </w:pPr>
            <w:r>
              <w:t xml:space="preserve">32 hrs</w:t>
            </w:r>
          </w:p>
        </w:tc>
        <w:tc>
          <w:tcPr/>
          <w:p>
            <w:pPr>
              <w:pStyle w:val="Compact"/>
              <w:jc w:val="left"/>
            </w:pPr>
            <w:r>
              <w:t xml:space="preserve">¥ 380.00</w:t>
            </w:r>
          </w:p>
        </w:tc>
        <w:tc>
          <w:tcPr/>
          <w:p>
            <w:pPr>
              <w:pStyle w:val="Compact"/>
              <w:jc w:val="left"/>
            </w:pPr>
            <w:r>
              <w:t xml:space="preserve">¥ 12,160.00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Payroll accounting and social insurance contribution verification for 85 employees, including individual income tax withholding calculations and remittance to the Guangzhou Social Security Administration</w:t>
            </w:r>
          </w:p>
        </w:tc>
        <w:tc>
          <w:tcPr/>
          <w:p>
            <w:pPr>
              <w:pStyle w:val="Compact"/>
              <w:jc w:val="left"/>
            </w:pPr>
            <w:r>
              <w:t xml:space="preserve">40 hrs</w:t>
            </w:r>
          </w:p>
        </w:tc>
        <w:tc>
          <w:tcPr/>
          <w:p>
            <w:pPr>
              <w:pStyle w:val="Compact"/>
              <w:jc w:val="left"/>
            </w:pPr>
            <w:r>
              <w:t xml:space="preserve">¥ 320.00</w:t>
            </w:r>
          </w:p>
        </w:tc>
        <w:tc>
          <w:tcPr/>
          <w:p>
            <w:pPr>
              <w:pStyle w:val="Compact"/>
              <w:jc w:val="left"/>
            </w:pPr>
            <w:r>
              <w:t xml:space="preserve">¥ 12,800.00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Annual audit support and pre-audit review: document organization, trial balance preparation, and coordination with external auditors for the fiscal year 2024 audit conducted in Guangzhou</w:t>
            </w:r>
          </w:p>
        </w:tc>
        <w:tc>
          <w:tcPr/>
          <w:p>
            <w:pPr>
              <w:pStyle w:val="Compact"/>
              <w:jc w:val="left"/>
            </w:pPr>
            <w:r>
              <w:t xml:space="preserve">36 hrs</w:t>
            </w:r>
          </w:p>
        </w:tc>
        <w:tc>
          <w:tcPr/>
          <w:p>
            <w:pPr>
              <w:pStyle w:val="Compact"/>
              <w:jc w:val="left"/>
            </w:pPr>
            <w:r>
              <w:t xml:space="preserve">¥ 450.00</w:t>
            </w:r>
          </w:p>
        </w:tc>
        <w:tc>
          <w:tcPr/>
          <w:p>
            <w:pPr>
              <w:pStyle w:val="Compact"/>
              <w:jc w:val="left"/>
            </w:pPr>
            <w:r>
              <w:t xml:space="preserve">¥ 16,200.00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Advisory services: tax planning consultation for cross-border trade operations, customs duty optimization, and compliance review under Guangdong Province fiscal regulations</w:t>
            </w:r>
          </w:p>
        </w:tc>
        <w:tc>
          <w:tcPr/>
          <w:p>
            <w:pPr>
              <w:pStyle w:val="Compact"/>
              <w:jc w:val="left"/>
            </w:pPr>
            <w:r>
              <w:t xml:space="preserve">16 hrs</w:t>
            </w:r>
          </w:p>
        </w:tc>
        <w:tc>
          <w:tcPr/>
          <w:p>
            <w:pPr>
              <w:pStyle w:val="Compact"/>
              <w:jc w:val="left"/>
            </w:pPr>
            <w:r>
              <w:t xml:space="preserve">¥ 500.00</w:t>
            </w:r>
          </w:p>
        </w:tc>
        <w:tc>
          <w:tcPr/>
          <w:p>
            <w:pPr>
              <w:pStyle w:val="Compact"/>
              <w:jc w:val="left"/>
            </w:pPr>
            <w:r>
              <w:t xml:space="preserve">¥ 8,000.00</w:t>
            </w:r>
          </w:p>
        </w:tc>
        <w:tc>
          <w:tcPr/>
          <w:p>
            <w:pPr>
              <w:pStyle w:val="Compact"/>
              <w:jc w:val="left"/>
            </w:pPr>
            <w:r>
              <w:t xml:space="preserve">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right"/>
            </w:pPr>
            <w:r>
              <w:t xml:space="preserve">¥ 75,560.00</w:t>
            </w:r>
          </w:p>
        </w:tc>
      </w:tr>
      <w:tr>
        <w:tc>
          <w:tcPr/>
          <w:p>
            <w:pPr>
              <w:pStyle w:val="Compact"/>
              <w:jc w:val="left"/>
            </w:pPr>
            <w:r>
              <w:t xml:space="preserve">VAT @ 6% (CNY)</w:t>
            </w:r>
          </w:p>
        </w:tc>
        <w:tc>
          <w:tcPr/>
          <w:p>
            <w:pPr>
              <w:pStyle w:val="Compact"/>
              <w:jc w:val="right"/>
            </w:pPr>
            <w:r>
              <w:t xml:space="preserve">¥ 4,533.60</w:t>
            </w:r>
          </w:p>
        </w:tc>
      </w:tr>
      <w:tr>
        <w:tc>
          <w:tcPr/>
          <w:p>
            <w:pPr>
              <w:pStyle w:val="Compact"/>
              <w:jc w:val="left"/>
            </w:pPr>
            <w:r>
              <w:t xml:space="preserve">Service Fee Surcharge (Urban Construction Tax + Education Surcharge)</w:t>
            </w:r>
          </w:p>
        </w:tc>
        <w:tc>
          <w:tcPr/>
          <w:p>
            <w:pPr>
              <w:pStyle w:val="Compact"/>
              <w:jc w:val="right"/>
            </w:pPr>
            <w:r>
              <w:t xml:space="preserve">¥ 317.35</w:t>
            </w:r>
          </w:p>
        </w:tc>
      </w:tr>
      <w:tr>
        <w:tc>
          <w:tcPr/>
          <w:p>
            <w:pPr>
              <w:pStyle w:val="Compact"/>
              <w:jc w:val="left"/>
            </w:pPr>
            <w:r>
              <w:t xml:space="preserve">Grand Total (CNY)</w:t>
            </w:r>
          </w:p>
        </w:tc>
        <w:tc>
          <w:tcPr/>
          <w:p>
            <w:pPr>
              <w:pStyle w:val="Compact"/>
              <w:jc w:val="right"/>
            </w:pPr>
            <w:r>
              <w:t xml:space="preserve">¥ 80,410.95</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China Merchants Bank, Guangzhou Tianhe Branch</w:t>
      </w:r>
    </w:p>
    <w:p>
      <w:pPr>
        <w:pStyle w:val="BodyText"/>
      </w:pPr>
      <w:r>
        <w:rPr>
          <w:bCs/>
          <w:b/>
        </w:rPr>
        <w:t xml:space="preserve">Account Name:</w:t>
      </w:r>
      <w:r>
        <w:t xml:space="preserve"> </w:t>
      </w:r>
      <w:r>
        <w:t xml:space="preserve">Guangzhou Precision Accountant &amp; Advisory Co., Ltd.</w:t>
      </w:r>
    </w:p>
    <w:p>
      <w:pPr>
        <w:pStyle w:val="BodyText"/>
      </w:pPr>
      <w:r>
        <w:rPr>
          <w:bCs/>
          <w:b/>
        </w:rPr>
        <w:t xml:space="preserve">Account Number:</w:t>
      </w:r>
      <w:r>
        <w:t xml:space="preserve"> </w:t>
      </w:r>
      <w:r>
        <w:t xml:space="preserve">6225 8801 3456 7890</w:t>
      </w:r>
    </w:p>
    <w:p>
      <w:pPr>
        <w:pStyle w:val="BodyText"/>
      </w:pPr>
      <w:r>
        <w:rPr>
          <w:bCs/>
          <w:b/>
        </w:rPr>
        <w:t xml:space="preserve">SWIFT Code:</w:t>
      </w:r>
      <w:r>
        <w:t xml:space="preserve"> </w:t>
      </w:r>
      <w:r>
        <w:t xml:space="preserve">CMBCCNBS200</w:t>
      </w:r>
    </w:p>
    <w:p>
      <w:pPr>
        <w:pStyle w:val="BodyText"/>
      </w:pPr>
      <w:r>
        <w:rPr>
          <w:bCs/>
          <w:b/>
        </w:rPr>
        <w:t xml:space="preserve">Payment Method:</w:t>
      </w:r>
      <w:r>
        <w:t xml:space="preserve"> </w:t>
      </w:r>
      <w:r>
        <w:t xml:space="preserve">Bank Transfer (Wire Transfer) / UnionPay / Alipay Business</w:t>
      </w:r>
    </w:p>
    <w:p>
      <w:pPr>
        <w:pStyle w:val="BodyText"/>
      </w:pPr>
      <w:r>
        <w:rPr>
          <w:bCs/>
          <w:b/>
        </w:rPr>
        <w:t xml:space="preserve">Payment Terms:</w:t>
      </w:r>
      <w:r>
        <w:t xml:space="preserve"> </w:t>
      </w:r>
      <w:r>
        <w:t xml:space="preserve">Net 30 days from the date of this Invoice. Late payments shall accrue interest at 0.05% per day as stipulated under the service agreement.</w:t>
      </w:r>
    </w:p>
    <w:p>
      <w:pPr>
        <w:pStyle w:val="BodyText"/>
      </w:pPr>
      <w:r>
        <w:rPr>
          <w:bCs/>
          <w:b/>
        </w:rPr>
        <w:t xml:space="preserve">Reference:</w:t>
      </w:r>
      <w:r>
        <w:t xml:space="preserve"> </w:t>
      </w:r>
      <w:r>
        <w:t xml:space="preserve">Please cite Invoice No. GZ-ACC-2025-0047 in your payment remittance.</w:t>
      </w:r>
    </w:p>
    <w:bookmarkEnd w:id="23"/>
    <w:bookmarkStart w:id="24" w:name="important-notes-terms"/>
    <w:p>
      <w:pPr>
        <w:pStyle w:val="Heading4"/>
      </w:pPr>
      <w:r>
        <w:t xml:space="preserve">Important Notes &amp; Terms</w:t>
      </w:r>
    </w:p>
    <w:p>
      <w:pPr>
        <w:pStyle w:val="FirstParagraph"/>
      </w:pPr>
      <w:r>
        <w:t xml:space="preserve">1. This Invoice is issued in accordance with the Accounting Law of the People's Republic of China and the Measures for the Administration of Invoices (State Taxation Administration Order No. 444).</w:t>
      </w:r>
    </w:p>
    <w:p>
      <w:pPr>
        <w:pStyle w:val="BodyText"/>
      </w:pPr>
      <w:r>
        <w:t xml:space="preserve">2. All accountant services rendered under this Invoice have been performed in full compliance with the Chinese Accounting Standards (CAS) and the regulations of the Ministry of Finance of the People's Republic of China.</w:t>
      </w:r>
    </w:p>
    <w:p>
      <w:pPr>
        <w:pStyle w:val="BodyText"/>
      </w:pPr>
      <w:r>
        <w:t xml:space="preserve">3. The VAT (Value-Added Tax) applied at 6% is consistent with the standard rate for modern services, including professional accounting and advisory services, as mandated by the State Taxation Administration for businesses registered in Guangzhou, Guangdong Province.</w:t>
      </w:r>
    </w:p>
    <w:p>
      <w:pPr>
        <w:pStyle w:val="BodyText"/>
      </w:pPr>
      <w:r>
        <w:t xml:space="preserve">4. This Invoice is valid for a period of 180 days from the date of issue. The client is requested to verify all line items and confirm accuracy within 10 business days of receipt.</w:t>
      </w:r>
    </w:p>
    <w:p>
      <w:pPr>
        <w:pStyle w:val="BodyText"/>
      </w:pPr>
      <w:r>
        <w:t xml:space="preserve">5. Any disputes arising from this Invoice or the associated accountant services shall be resolved through negotiation, and if unresolved, shall be submitted to the Guangzhou Arbitration Commission for arbitration in accordance with its rules of procedure.</w:t>
      </w:r>
    </w:p>
    <w:p>
      <w:pPr>
        <w:pStyle w:val="BodyText"/>
      </w:pPr>
      <w:r>
        <w:t xml:space="preserve">6. The accountant services described herein are subject to the Master Service Agreement dated January 5, 2025, between Guangzhou Precision Accountant &amp; Advisory Co., Ltd. and Guangzhou Horizon Trading &amp; Logistics Co., Ltd.</w:t>
      </w:r>
    </w:p>
    <w:p>
      <w:pPr>
        <w:pStyle w:val="BodyText"/>
      </w:pPr>
      <w:r>
        <w:t xml:space="preserve">7. All financial data and records processed under this engagement are subject to the confidentiality provisions of the service agreement and the Data Security Law of the People's Republic of China.</w:t>
      </w:r>
    </w:p>
    <w:bookmarkEnd w:id="24"/>
    <w:p>
      <w:pPr>
        <w:pStyle w:val="BodyText"/>
      </w:pPr>
      <w:r>
        <w:t xml:space="preserve">Authorized Signatory:</w:t>
      </w:r>
    </w:p>
    <w:p>
      <w:pPr>
        <w:pStyle w:val="BodyText"/>
      </w:pPr>
      <w:r>
        <w:t xml:space="preserve">Liang Wei</w:t>
      </w:r>
    </w:p>
    <w:p>
      <w:pPr>
        <w:pStyle w:val="BodyText"/>
      </w:pPr>
      <w:r>
        <w:t xml:space="preserve">Senior Accountant &amp; Managing Director</w:t>
      </w:r>
    </w:p>
    <w:p>
      <w:pPr>
        <w:pStyle w:val="BodyText"/>
      </w:pPr>
      <w:r>
        <w:t xml:space="preserve">Guangzhou Precision Accountant &amp; Advisory Co., Ltd.</w:t>
      </w:r>
    </w:p>
    <w:p>
      <w:pPr>
        <w:pStyle w:val="BodyText"/>
      </w:pPr>
      <w:r>
        <w:t xml:space="preserve">[ Company Seal / 公章 ]</w:t>
      </w:r>
    </w:p>
    <w:p>
      <w:pPr>
        <w:pStyle w:val="BodyText"/>
      </w:pPr>
      <w:r>
        <w:t xml:space="preserve">Guangzhou Precision Accountant &amp; Advisory Co., Ltd. | Unit 1208, Tower B, Tianhe Business Center, Tianhe District, Guangzhou, Guangdong, China 510620</w:t>
      </w:r>
    </w:p>
    <w:p>
      <w:pPr>
        <w:pStyle w:val="BodyText"/>
      </w:pPr>
      <w:r>
        <w:t xml:space="preserve">Unified Social Credit Code: 91440101MA5C8X7K2P | Registered with Guangzhou Municipal Market Supervision Administration</w:t>
      </w:r>
    </w:p>
    <w:p>
      <w:pPr>
        <w:pStyle w:val="BodyText"/>
      </w:pPr>
      <w:r>
        <w:t xml:space="preserve">This Invoice is a legally binding document for tax and accounting purposes in the People's Republic of China. Please retain this document for your corporate records.</w:t>
      </w:r>
    </w:p>
    <w:p>
      <w:pPr>
        <w:pStyle w:val="BodyText"/>
      </w:pPr>
      <w:r>
        <w:t xml:space="preserve">© 2025 Guangzhou Precision Accountant &amp; Advisory Co., Ltd. All Rights Reserved. | Invoice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China Guangzhou</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