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Professional</w:t>
      </w:r>
      <w:r>
        <w:t xml:space="preserve"> </w:t>
      </w:r>
      <w:r>
        <w:t xml:space="preserve">Accountant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X6e8fa9bd3caaad4ec5a3ad1b67fa4d35652a18c"/>
    <w:p>
      <w:pPr>
        <w:pStyle w:val="Heading1"/>
      </w:pPr>
      <w:r>
        <w:t xml:space="preserve">Andes Professional Accountant Services S.A.S.</w:t>
      </w:r>
    </w:p>
    <w:p>
      <w:pPr>
        <w:pStyle w:val="FirstParagraph"/>
      </w:pPr>
      <w:r>
        <w:t xml:space="preserve">Calle 72A No. 15-45, Piso 8, Zona Rosa</w:t>
      </w:r>
    </w:p>
    <w:p>
      <w:pPr>
        <w:pStyle w:val="BodyText"/>
      </w:pPr>
      <w:r>
        <w:t xml:space="preserve">Bogotá D.C., Colombia</w:t>
      </w:r>
    </w:p>
    <w:p>
      <w:pPr>
        <w:pStyle w:val="BodyText"/>
      </w:pPr>
      <w:r>
        <w:t xml:space="preserve">NIT: 901.234.567-8 | Cámara de Comercio de Bogotá: 520000123456</w:t>
      </w:r>
    </w:p>
    <w:p>
      <w:pPr>
        <w:pStyle w:val="BodyText"/>
      </w:pPr>
      <w:r>
        <w:t xml:space="preserve">Phone: +57 (601) 743-8821 | Email: billing@andesaccountant.co</w:t>
      </w:r>
    </w:p>
    <w:bookmarkEnd w:id="20"/>
    <w:bookmarkStart w:id="21" w:name="invoice"/>
    <w:p>
      <w:pPr>
        <w:pStyle w:val="Heading2"/>
      </w:pPr>
      <w:r>
        <w:t xml:space="preserve">INVOICE</w:t>
      </w:r>
    </w:p>
    <w:p>
      <w:pPr>
        <w:pStyle w:val="FirstParagraph"/>
      </w:pPr>
      <w:r>
        <w:t xml:space="preserve">Factura de Venta</w:t>
      </w:r>
    </w:p>
    <w:p>
      <w:pPr>
        <w:pStyle w:val="BodyText"/>
      </w:pPr>
      <w:r>
        <w:t xml:space="preserve">Invoice No.: INV-2025-00487</w:t>
      </w:r>
    </w:p>
    <w:p>
      <w:pPr>
        <w:pStyle w:val="BodyText"/>
      </w:pPr>
      <w:r>
        <w:t xml:space="preserve">Date of Issue: June 15, 2025</w:t>
      </w:r>
    </w:p>
    <w:p>
      <w:pPr>
        <w:pStyle w:val="BodyText"/>
      </w:pPr>
      <w:r>
        <w:t xml:space="preserve">Due Date: July 15, 2025</w:t>
      </w:r>
    </w:p>
    <w:bookmarkEnd w:id="21"/>
    <w:bookmarkStart w:id="22" w:name="billed-to-cliente"/>
    <w:p>
      <w:pPr>
        <w:pStyle w:val="Heading3"/>
      </w:pPr>
      <w:r>
        <w:t xml:space="preserve">Billed To (Cliente)</w:t>
      </w:r>
    </w:p>
    <w:p>
      <w:pPr>
        <w:pStyle w:val="FirstParagraph"/>
      </w:pPr>
      <w:r>
        <w:rPr>
          <w:bCs/>
          <w:b/>
        </w:rPr>
        <w:t xml:space="preserve">Grupo Financiero del Caribe S.A.</w:t>
      </w:r>
    </w:p>
    <w:p>
      <w:pPr>
        <w:pStyle w:val="BodyText"/>
      </w:pPr>
      <w:r>
        <w:t xml:space="preserve">Av. El Dorado No. 13-35, Torre B, Piso 12</w:t>
      </w:r>
    </w:p>
    <w:p>
      <w:pPr>
        <w:pStyle w:val="BodyText"/>
      </w:pPr>
      <w:r>
        <w:t xml:space="preserve">Bogotá D.C., Colombia</w:t>
      </w:r>
    </w:p>
    <w:p>
      <w:pPr>
        <w:pStyle w:val="BodyText"/>
      </w:pPr>
      <w:r>
        <w:t xml:space="preserve">NIT: 830.456.789-1</w:t>
      </w:r>
    </w:p>
    <w:p>
      <w:pPr>
        <w:pStyle w:val="BodyText"/>
      </w:pPr>
      <w:r>
        <w:t xml:space="preserve">Contact: Laura Martínez, Financial Director</w:t>
      </w:r>
    </w:p>
    <w:p>
      <w:pPr>
        <w:pStyle w:val="BodyText"/>
      </w:pPr>
      <w:r>
        <w:t xml:space="preserve">Email: l.martinez@grupocaribe.co</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May 1 – May 31, 2025</w:t>
      </w:r>
    </w:p>
    <w:p>
      <w:pPr>
        <w:pStyle w:val="BodyText"/>
      </w:pPr>
      <w:r>
        <w:rPr>
          <w:bCs/>
          <w:b/>
        </w:rPr>
        <w:t xml:space="preserve">Accountant in Charge:</w:t>
      </w:r>
      <w:r>
        <w:t xml:space="preserve"> </w:t>
      </w:r>
      <w:r>
        <w:t xml:space="preserve">Carlos R. Ospina, CPA</w:t>
      </w:r>
    </w:p>
    <w:p>
      <w:pPr>
        <w:pStyle w:val="BodyText"/>
      </w:pPr>
      <w:r>
        <w:rPr>
          <w:bCs/>
          <w:b/>
        </w:rPr>
        <w:t xml:space="preserve">License No.:</w:t>
      </w:r>
      <w:r>
        <w:t xml:space="preserve"> </w:t>
      </w:r>
      <w:r>
        <w:t xml:space="preserve">45.678 – Junta Central de Contadores</w:t>
      </w:r>
    </w:p>
    <w:p>
      <w:pPr>
        <w:pStyle w:val="BodyText"/>
      </w:pPr>
      <w:r>
        <w:rPr>
          <w:bCs/>
          <w:b/>
        </w:rPr>
        <w:t xml:space="preserve">Regime:</w:t>
      </w:r>
      <w:r>
        <w:t xml:space="preserve"> </w:t>
      </w:r>
      <w:r>
        <w:t xml:space="preserve">Régimen Ordinario (IVA)</w:t>
      </w:r>
    </w:p>
    <w:p>
      <w:pPr>
        <w:pStyle w:val="BodyText"/>
      </w:pPr>
      <w:r>
        <w:rPr>
          <w:bCs/>
          <w:b/>
        </w:rPr>
        <w:t xml:space="preserve">Currency:</w:t>
      </w:r>
      <w:r>
        <w:t xml:space="preserve"> </w:t>
      </w:r>
      <w:r>
        <w:t xml:space="preserve">Colombian Peso (COP)</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Accountant Services Rendered</w:t>
            </w:r>
          </w:p>
        </w:tc>
        <w:tc>
          <w:tcPr/>
          <w:p>
            <w:pPr>
              <w:pStyle w:val="Compact"/>
              <w:jc w:val="left"/>
            </w:pPr>
            <w:r>
              <w:t xml:space="preserve">Reference / Code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Monthly financial statement preparation and reconciliation for the accounting period of May 2025, including balance sheet, income statement, and cash flow statement in compliance with Colombian GAAP (NIC/IFRS) as mandated by the Superintendencia de Sociedades in Colombia Bogotá.</w:t>
            </w:r>
          </w:p>
        </w:tc>
        <w:tc>
          <w:tcPr/>
          <w:p>
            <w:pPr>
              <w:pStyle w:val="Compact"/>
              <w:jc w:val="left"/>
            </w:pPr>
            <w:r>
              <w:t xml:space="preserve">SVC-ACC-001</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Preparation and electronic filing of monthly tax returns (Formulario 210 – IVA, Formulario 211 – Renta, Formulario 310 – Retención en la Fuente) with the DIAN (Dirección de Impuestos y Aduanas Nacionales) for the operations conducted in Colombia Bogotá during May 2025.</w:t>
            </w:r>
          </w:p>
        </w:tc>
        <w:tc>
          <w:tcPr/>
          <w:p>
            <w:pPr>
              <w:pStyle w:val="Compact"/>
              <w:jc w:val="left"/>
            </w:pPr>
            <w:r>
              <w:t xml:space="preserve">SVC-ACC-002</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Payroll processing and social security contributions (Pensión, Salud, ARL, Parafiscales) for 47 employees, including the generation of the monthly payroll report and the corresponding payment instructions to Colpensiones and EPS providers registered in Colombia Bogotá.</w:t>
            </w:r>
          </w:p>
        </w:tc>
        <w:tc>
          <w:tcPr/>
          <w:p>
            <w:pPr>
              <w:pStyle w:val="Compact"/>
              <w:jc w:val="left"/>
            </w:pPr>
            <w:r>
              <w:t xml:space="preserve">SVC-ACC-003</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Advisory and consulting session (4 hours) regarding the implementation of the new tax reform provisions (Ley 2277 de 2022) affecting corporate income tax rates and the minimum tax obligation for companies operating in Colombia Bogotá. Includes a written memorandum with recommendations.</w:t>
            </w:r>
          </w:p>
        </w:tc>
        <w:tc>
          <w:tcPr/>
          <w:p>
            <w:pPr>
              <w:pStyle w:val="Compact"/>
              <w:jc w:val="left"/>
            </w:pPr>
            <w:r>
              <w:t xml:space="preserve">SVC-ACC-004</w:t>
            </w:r>
          </w:p>
        </w:tc>
        <w:tc>
          <w:tcPr/>
          <w:p>
            <w:pPr>
              <w:pStyle w:val="Compact"/>
              <w:jc w:val="left"/>
            </w:pPr>
            <w:r>
              <w:t xml:space="preserve">4</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5</w:t>
            </w:r>
          </w:p>
        </w:tc>
        <w:tc>
          <w:tcPr/>
          <w:p>
            <w:pPr>
              <w:pStyle w:val="Compact"/>
              <w:jc w:val="left"/>
            </w:pPr>
            <w:r>
              <w:t xml:space="preserve">Bank reconciliation and accounts receivable/payable aging analysis for all corporate accounts held with Bancolombia, Davivienda, and Banco de Bogotá. Includes identification of discrepancies and proposed journal entries for correction.</w:t>
            </w:r>
          </w:p>
        </w:tc>
        <w:tc>
          <w:tcPr/>
          <w:p>
            <w:pPr>
              <w:pStyle w:val="Compact"/>
              <w:jc w:val="left"/>
            </w:pPr>
            <w:r>
              <w:t xml:space="preserve">SVC-ACC-005</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6</w:t>
            </w:r>
          </w:p>
        </w:tc>
        <w:tc>
          <w:tcPr/>
          <w:p>
            <w:pPr>
              <w:pStyle w:val="Compact"/>
              <w:jc w:val="left"/>
            </w:pPr>
            <w:r>
              <w:t xml:space="preserve">Preparation of the monthly management report (Reporte de Gestión) for the Board of Directors, including key financial ratios, variance analysis against budget, and a narrative summary of the company's financial position in Colombia Bogotá.</w:t>
            </w:r>
          </w:p>
        </w:tc>
        <w:tc>
          <w:tcPr/>
          <w:p>
            <w:pPr>
              <w:pStyle w:val="Compact"/>
              <w:jc w:val="left"/>
            </w:pPr>
            <w:r>
              <w:t xml:space="preserve">SVC-ACC-006</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(Subtotal)</w:t>
            </w:r>
          </w:p>
        </w:tc>
        <w:tc>
          <w:tcPr/>
          <w:p>
            <w:pPr>
              <w:pStyle w:val="Compact"/>
              <w:jc w:val="left"/>
            </w:pPr>
            <w:r>
              <w:t xml:space="preserve">15,800,000</w:t>
            </w:r>
          </w:p>
        </w:tc>
      </w:tr>
      <w:tr>
        <w:tc>
          <w:tcPr/>
          <w:p>
            <w:pPr>
              <w:pStyle w:val="Compact"/>
              <w:jc w:val="left"/>
            </w:pPr>
            <w:r>
              <w:t xml:space="preserve">IVA 19% (VAT)</w:t>
            </w:r>
          </w:p>
        </w:tc>
        <w:tc>
          <w:tcPr/>
          <w:p>
            <w:pPr>
              <w:pStyle w:val="Compact"/>
              <w:jc w:val="left"/>
            </w:pPr>
            <w:r>
              <w:t xml:space="preserve">3,002,000</w:t>
            </w:r>
          </w:p>
        </w:tc>
      </w:tr>
      <w:tr>
        <w:tc>
          <w:tcPr/>
          <w:p>
            <w:pPr>
              <w:pStyle w:val="Compact"/>
              <w:jc w:val="left"/>
            </w:pPr>
            <w:r>
              <w:t xml:space="preserve">Retención en la Fuente (3%)</w:t>
            </w:r>
          </w:p>
        </w:tc>
        <w:tc>
          <w:tcPr/>
          <w:p>
            <w:pPr>
              <w:pStyle w:val="Compact"/>
              <w:jc w:val="left"/>
            </w:pPr>
            <w:r>
              <w:t xml:space="preserve">(474,000)</w:t>
            </w:r>
          </w:p>
        </w:tc>
      </w:tr>
      <w:tr>
        <w:tc>
          <w:tcPr/>
          <w:p>
            <w:pPr>
              <w:pStyle w:val="Compact"/>
              <w:jc w:val="left"/>
            </w:pPr>
            <w:r>
              <w:t xml:space="preserve">TOTAL TO PAY (Total a Pagar)</w:t>
            </w:r>
          </w:p>
        </w:tc>
        <w:tc>
          <w:tcPr/>
          <w:p>
            <w:pPr>
              <w:pStyle w:val="Compact"/>
              <w:jc w:val="left"/>
            </w:pPr>
            <w:r>
              <w:t xml:space="preserve">18,328,000</w:t>
            </w:r>
          </w:p>
        </w:tc>
      </w:tr>
    </w:tbl>
    <w:bookmarkStart w:id="24" w:name="X039f8b89fba41310df5c4c4b3159a0ca20a3fbe"/>
    <w:p>
      <w:pPr>
        <w:pStyle w:val="Heading3"/>
      </w:pPr>
      <w:r>
        <w:t xml:space="preserve">Payment Instructions (Instrucciones de Pago)</w:t>
      </w:r>
    </w:p>
    <w:p>
      <w:pPr>
        <w:pStyle w:val="FirstParagraph"/>
      </w:pPr>
      <w:r>
        <w:t xml:space="preserve">This Invoice must be settled within thirty (30) calendar days from the date of issue, no later than July 15, 2025. Payment shall be made via electronic bank transfer (EFT) to the following account:</w:t>
      </w:r>
    </w:p>
    <w:p>
      <w:pPr>
        <w:pStyle w:val="BodyText"/>
      </w:pPr>
      <w:r>
        <w:rPr>
          <w:bCs/>
          <w:b/>
        </w:rPr>
        <w:t xml:space="preserve">Bank:</w:t>
      </w:r>
      <w:r>
        <w:t xml:space="preserve"> </w:t>
      </w:r>
      <w:r>
        <w:t xml:space="preserve">Bancolombia S.A. – Colombia Bogotá</w:t>
      </w:r>
    </w:p>
    <w:p>
      <w:pPr>
        <w:pStyle w:val="BodyText"/>
      </w:pPr>
      <w:r>
        <w:rPr>
          <w:bCs/>
          <w:b/>
        </w:rPr>
        <w:t xml:space="preserve">Account Type:</w:t>
      </w:r>
      <w:r>
        <w:t xml:space="preserve"> </w:t>
      </w:r>
      <w:r>
        <w:t xml:space="preserve">Cuenta de Ahorros</w:t>
      </w:r>
    </w:p>
    <w:p>
      <w:pPr>
        <w:pStyle w:val="BodyText"/>
      </w:pPr>
      <w:r>
        <w:rPr>
          <w:bCs/>
          <w:b/>
        </w:rPr>
        <w:t xml:space="preserve">Account Number:</w:t>
      </w:r>
      <w:r>
        <w:t xml:space="preserve"> </w:t>
      </w:r>
      <w:r>
        <w:t xml:space="preserve">001-567-890-123</w:t>
      </w:r>
    </w:p>
    <w:p>
      <w:pPr>
        <w:pStyle w:val="BodyText"/>
      </w:pPr>
      <w:r>
        <w:rPr>
          <w:bCs/>
          <w:b/>
        </w:rPr>
        <w:t xml:space="preserve">Account Holder:</w:t>
      </w:r>
      <w:r>
        <w:t xml:space="preserve"> </w:t>
      </w:r>
      <w:r>
        <w:t xml:space="preserve">Andes Professional Accountant Services S.A.S.</w:t>
      </w:r>
    </w:p>
    <w:p>
      <w:pPr>
        <w:pStyle w:val="BodyText"/>
      </w:pPr>
      <w:r>
        <w:rPr>
          <w:bCs/>
          <w:b/>
        </w:rPr>
        <w:t xml:space="preserve">NIT:</w:t>
      </w:r>
      <w:r>
        <w:t xml:space="preserve"> </w:t>
      </w:r>
      <w:r>
        <w:t xml:space="preserve">901.234.567-8</w:t>
      </w:r>
    </w:p>
    <w:p>
      <w:pPr>
        <w:pStyle w:val="BodyText"/>
      </w:pPr>
      <w:r>
        <w:t xml:space="preserve">Please reference the Invoice number INV-2025-00487 in the transfer description. Late payments will be subject to the legal interest rate (tasa de interés moratoria) established by the Banco de la República of Colombia, as per Article 878 of the Colombian Commercial Code.</w:t>
      </w:r>
    </w:p>
    <w:bookmarkEnd w:id="24"/>
    <w:bookmarkStart w:id="25" w:name="important-notes-notas-importantes"/>
    <w:p>
      <w:pPr>
        <w:pStyle w:val="Heading3"/>
      </w:pPr>
      <w:r>
        <w:t xml:space="preserve">Important Notes (Notas Importantes)</w:t>
      </w:r>
    </w:p>
    <w:p>
      <w:pPr>
        <w:pStyle w:val="FirstParagraph"/>
      </w:pPr>
      <w:r>
        <w:t xml:space="preserve">1. This Invoice is issued in accordance with the electronic invoicing regulations (Resolución 000042 de 2023) of the DIAN and the requirements of the Superintendencia de Industria y Comercio for commercial transactions in Colombia Bogotá.</w:t>
      </w:r>
    </w:p>
    <w:p>
      <w:pPr>
        <w:pStyle w:val="BodyText"/>
      </w:pPr>
      <w:r>
        <w:t xml:space="preserve">2. The Accountant services described herein are performed by a licensed professional registered with the Junta Central de Contadores (JCC) and comply with the ethical standards set forth in the Código de Ética Profesional de la Contaduría Pública de Colombia.</w:t>
      </w:r>
    </w:p>
    <w:p>
      <w:pPr>
        <w:pStyle w:val="BodyText"/>
      </w:pPr>
      <w:r>
        <w:t xml:space="preserve">3. All financial information processed under this engagement is subject to the confidentiality obligations established in Article 14 of the Ley 1150 de 2007 and the General Data Protection Law (Ley 1581 de 2012) of Colombia.</w:t>
      </w:r>
    </w:p>
    <w:p>
      <w:pPr>
        <w:pStyle w:val="BodyText"/>
      </w:pPr>
      <w:r>
        <w:t xml:space="preserve">4. The client acknowledges that the Accountant is not responsible for penalties or sanctions imposed by the DIAN arising from information provided by the client that is incomplete, inaccurate, or submitted outside the statutory deadlines in Colombia Bogotá.</w:t>
      </w:r>
    </w:p>
    <w:p>
      <w:pPr>
        <w:pStyle w:val="BodyText"/>
      </w:pPr>
      <w:r>
        <w:t xml:space="preserve">5. This Invoice constitutes a valid commercial document for tax deduction purposes under the Colombian Tax Statute (Estatuto Tributario, Decreto 100 de 1980, modified by Decreto 2420 de 2015).</w:t>
      </w:r>
    </w:p>
    <w:bookmarkEnd w:id="25"/>
    <w:p>
      <w:pPr>
        <w:pStyle w:val="BodyText"/>
      </w:pPr>
      <w:r>
        <w:t xml:space="preserve">RECEIVED – GROUPO FINANCIERO DEL CARIBE S.A.</w:t>
      </w:r>
      <w:r>
        <w:br/>
      </w:r>
      <w:r>
        <w:t xml:space="preserve">Date: _______________   |   Signature: _______________   |   NIT: 830.456.789-1</w:t>
      </w:r>
    </w:p>
    <w:p>
      <w:pPr>
        <w:pStyle w:val="BodyText"/>
      </w:pPr>
      <w:r>
        <w:t xml:space="preserve">Andes Professional Accountant Services S.A.S. – Registered in the Cámara de Comercio de Bogotá, Colombia.</w:t>
      </w:r>
    </w:p>
    <w:p>
      <w:pPr>
        <w:pStyle w:val="BodyText"/>
      </w:pPr>
      <w:r>
        <w:t xml:space="preserve">Office: Calle 72A No. 15-45, Piso 8, Zona Rosa, Bogotá D.C., Colombia | Phone: +57 (601) 743-8821</w:t>
      </w:r>
    </w:p>
    <w:p>
      <w:pPr>
        <w:pStyle w:val="BodyText"/>
      </w:pPr>
      <w:r>
        <w:t xml:space="preserve">This Invoice was generated electronically and is valid without a physical stamp per DIAN regulations. For queries regarding this Invoice, contact our billing department at billing@andesaccountant.co.</w:t>
      </w:r>
    </w:p>
    <w:p>
      <w:pPr>
        <w:pStyle w:val="BodyText"/>
      </w:pPr>
      <w:r>
        <w:t xml:space="preserve">© 2025 Andes Professional Accountant Services S.A.S. – All rights reserved.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Professional Accountant Services - Colombia Bogotá</dc:title>
  <dc:creator/>
  <dc:language>en</dc:language>
  <cp:keywords/>
  <dcterms:created xsi:type="dcterms:W3CDTF">2026-10-10T07:01:32Z</dcterms:created>
  <dcterms:modified xsi:type="dcterms:W3CDTF">2026-10-10T07:01:32Z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