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invoice"/>
    <w:p>
      <w:pPr>
        <w:pStyle w:val="Heading1"/>
      </w:pPr>
      <w:r>
        <w:t xml:space="preserve">INVOICE</w:t>
      </w:r>
    </w:p>
    <w:p>
      <w:pPr>
        <w:pStyle w:val="FirstParagraph"/>
      </w:pPr>
      <w:r>
        <w:t xml:space="preserve">Professional Accountant Services — Egypt Alexandria</w:t>
      </w:r>
    </w:p>
    <w:p>
      <w:pPr>
        <w:pStyle w:val="BodyText"/>
      </w:pPr>
      <w:r>
        <w:t xml:space="preserve">TAX INVOICE</w:t>
      </w:r>
    </w:p>
    <w:bookmarkEnd w:id="20"/>
    <w:bookmarkStart w:id="21" w:name="Xf83c7a47456eb4adf983d9adc298411e2aed971"/>
    <w:p>
      <w:pPr>
        <w:pStyle w:val="Heading3"/>
      </w:pPr>
      <w:r>
        <w:t xml:space="preserve">Alexandria Certified Accountant &amp; Advisory Firm</w:t>
      </w:r>
    </w:p>
    <w:p>
      <w:pPr>
        <w:pStyle w:val="FirstParagraph"/>
      </w:pPr>
      <w:r>
        <w:t xml:space="preserve">142 Corniche El-Nil Street, El-Montaza District</w:t>
      </w:r>
    </w:p>
    <w:p>
      <w:pPr>
        <w:pStyle w:val="BodyText"/>
      </w:pPr>
      <w:r>
        <w:t xml:space="preserve">Alexandria, Egypt — P.O. Box 4521</w:t>
      </w:r>
    </w:p>
    <w:p>
      <w:pPr>
        <w:pStyle w:val="BodyText"/>
      </w:pPr>
      <w:r>
        <w:t xml:space="preserve">Tel: +20 3 482 5567 | Email: billing@alexaccountant.com.eg</w:t>
      </w:r>
    </w:p>
    <w:p>
      <w:pPr>
        <w:pStyle w:val="BodyText"/>
      </w:pPr>
      <w:r>
        <w:t xml:space="preserve">Tax Registration No. (TRN): 552-884-123-779</w:t>
      </w:r>
    </w:p>
    <w:p>
      <w:pPr>
        <w:pStyle w:val="BodyText"/>
      </w:pPr>
      <w:r>
        <w:t xml:space="preserve">Commercial Register No.: 18472 — Alexandria</w:t>
      </w:r>
    </w:p>
    <w:bookmarkEnd w:id="21"/>
    <w:bookmarkStart w:id="22" w:name="invoice-details"/>
    <w:p>
      <w:pPr>
        <w:pStyle w:val="Heading4"/>
      </w:pPr>
      <w:r>
        <w:t xml:space="preserve">Invoice Details</w:t>
      </w:r>
    </w:p>
    <w:p>
      <w:pPr>
        <w:pStyle w:val="FirstParagraph"/>
      </w:pPr>
      <w:r>
        <w:rPr>
          <w:bCs/>
          <w:b/>
        </w:rPr>
        <w:t xml:space="preserve">Invoice No.:</w:t>
      </w:r>
      <w:r>
        <w:t xml:space="preserve"> </w:t>
      </w:r>
      <w:r>
        <w:t xml:space="preserve">ALC-2025-00487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1 May 2025 – 31 May 2025</w:t>
      </w:r>
    </w:p>
    <w:bookmarkEnd w:id="22"/>
    <w:bookmarkStart w:id="23" w:name="billed-to-client"/>
    <w:p>
      <w:pPr>
        <w:pStyle w:val="Heading4"/>
      </w:pPr>
      <w:r>
        <w:t xml:space="preserve">Billed To (Client)</w:t>
      </w:r>
    </w:p>
    <w:p>
      <w:pPr>
        <w:pStyle w:val="FirstParagraph"/>
      </w:pPr>
      <w:r>
        <w:rPr>
          <w:bCs/>
          <w:b/>
        </w:rPr>
        <w:t xml:space="preserve">Company:</w:t>
      </w:r>
      <w:r>
        <w:t xml:space="preserve"> </w:t>
      </w:r>
      <w:r>
        <w:t xml:space="preserve">Mediterranean Trading &amp; Logistics Co.</w:t>
      </w:r>
    </w:p>
    <w:p>
      <w:pPr>
        <w:pStyle w:val="BodyText"/>
      </w:pPr>
      <w:r>
        <w:rPr>
          <w:bCs/>
          <w:b/>
        </w:rPr>
        <w:t xml:space="preserve">Address:</w:t>
      </w:r>
      <w:r>
        <w:t xml:space="preserve"> </w:t>
      </w:r>
      <w:r>
        <w:t xml:space="preserve">28 Port Said Road, Smouha District</w:t>
      </w:r>
    </w:p>
    <w:p>
      <w:pPr>
        <w:pStyle w:val="BodyText"/>
      </w:pPr>
      <w:r>
        <w:t xml:space="preserve">Alexandria, Egypt — P.O. Box 9934</w:t>
      </w:r>
    </w:p>
    <w:p>
      <w:pPr>
        <w:pStyle w:val="BodyText"/>
      </w:pPr>
      <w:r>
        <w:rPr>
          <w:bCs/>
          <w:b/>
        </w:rPr>
        <w:t xml:space="preserve">TRN:</w:t>
      </w:r>
      <w:r>
        <w:t xml:space="preserve"> </w:t>
      </w:r>
      <w:r>
        <w:t xml:space="preserve">552-771-445-203</w:t>
      </w:r>
    </w:p>
    <w:p>
      <w:pPr>
        <w:pStyle w:val="BodyText"/>
      </w:pPr>
      <w:r>
        <w:rPr>
          <w:bCs/>
          <w:b/>
        </w:rPr>
        <w:t xml:space="preserve">Contact:</w:t>
      </w:r>
      <w:r>
        <w:t xml:space="preserve"> </w:t>
      </w:r>
      <w:r>
        <w:t xml:space="preserve">Mr. Ahmed El-Sayed, Finance Manager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Accountant Services</w:t>
            </w:r>
          </w:p>
        </w:tc>
        <w:tc>
          <w:tcPr/>
          <w:p>
            <w:pPr>
              <w:pStyle w:val="Compact"/>
              <w:jc w:val="left"/>
            </w:pPr>
            <w:r>
              <w:t xml:space="preserve">Quantity</w:t>
            </w:r>
          </w:p>
        </w:tc>
        <w:tc>
          <w:tcPr/>
          <w:p>
            <w:pPr>
              <w:pStyle w:val="Compact"/>
              <w:jc w:val="left"/>
            </w:pPr>
            <w:r>
              <w:t xml:space="preserve">Unit Rate (EGP)</w:t>
            </w:r>
          </w:p>
        </w:tc>
        <w:tc>
          <w:tcPr/>
          <w:p>
            <w:pPr>
              <w:pStyle w:val="Compact"/>
              <w:jc w:val="left"/>
            </w:pPr>
            <w:r>
              <w:t xml:space="preserve">Amount (EGP)</w:t>
            </w:r>
          </w:p>
        </w:tc>
        <w:tc>
          <w:tcPr/>
          <w:p>
            <w:pPr>
              <w:pStyle w:val="Compact"/>
              <w:jc w:val="left"/>
            </w:pPr>
            <w:r>
              <w:t xml:space="preserve">VAT 14%</w:t>
            </w:r>
          </w:p>
        </w:tc>
      </w:tr>
      <w:tr>
        <w:tc>
          <w:tcPr/>
          <w:p>
            <w:pPr>
              <w:pStyle w:val="Compact"/>
              <w:jc w:val="left"/>
            </w:pPr>
            <w:r>
              <w:t xml:space="preserve">1</w:t>
            </w:r>
          </w:p>
        </w:tc>
        <w:tc>
          <w:tcPr/>
          <w:p>
            <w:pPr>
              <w:pStyle w:val="Compact"/>
              <w:jc w:val="left"/>
            </w:pPr>
            <w:r>
              <w:t xml:space="preserve">Monthly bookkeeping and general ledger maintenance for the client's operations in Egypt Alexandria, including journal entries, reconciliation of bank accounts, and preparation of trial balance.</w:t>
            </w:r>
          </w:p>
        </w:tc>
        <w:tc>
          <w:tcPr/>
          <w:p>
            <w:pPr>
              <w:pStyle w:val="Compact"/>
              <w:jc w:val="left"/>
            </w:pPr>
            <w:r>
              <w:t xml:space="preserve">1 month</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1,190.00</w:t>
            </w:r>
          </w:p>
        </w:tc>
      </w:tr>
      <w:tr>
        <w:tc>
          <w:tcPr/>
          <w:p>
            <w:pPr>
              <w:pStyle w:val="Compact"/>
              <w:jc w:val="left"/>
            </w:pPr>
            <w:r>
              <w:t xml:space="preserve">2</w:t>
            </w:r>
          </w:p>
        </w:tc>
        <w:tc>
          <w:tcPr/>
          <w:p>
            <w:pPr>
              <w:pStyle w:val="Compact"/>
              <w:jc w:val="left"/>
            </w:pPr>
            <w:r>
              <w:t xml:space="preserve">Preparation and filing of monthly Value Added Tax (VAT) return with the Egyptian Tax Authority, Alexandria Regional Office, ensuring full compliance with the Egyptian Tax Code and relevant ministerial decisions.</w:t>
            </w:r>
          </w:p>
        </w:tc>
        <w:tc>
          <w:tcPr/>
          <w:p>
            <w:pPr>
              <w:pStyle w:val="Compact"/>
              <w:jc w:val="left"/>
            </w:pPr>
            <w:r>
              <w:t xml:space="preserve">1 filing</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448.00</w:t>
            </w:r>
          </w:p>
        </w:tc>
      </w:tr>
      <w:tr>
        <w:tc>
          <w:tcPr/>
          <w:p>
            <w:pPr>
              <w:pStyle w:val="Compact"/>
              <w:jc w:val="left"/>
            </w:pPr>
            <w:r>
              <w:t xml:space="preserve">3</w:t>
            </w:r>
          </w:p>
        </w:tc>
        <w:tc>
          <w:tcPr/>
          <w:p>
            <w:pPr>
              <w:pStyle w:val="Compact"/>
              <w:jc w:val="left"/>
            </w:pPr>
            <w:r>
              <w:t xml:space="preserve">Payroll processing and social insurance contribution calculations for 45 employees, including preparation of wage statements and submission of monthly reports to the National Insurance Agency in Alexandria.</w:t>
            </w:r>
          </w:p>
        </w:tc>
        <w:tc>
          <w:tcPr/>
          <w:p>
            <w:pPr>
              <w:pStyle w:val="Compact"/>
              <w:jc w:val="left"/>
            </w:pPr>
            <w:r>
              <w:t xml:space="preserve">1 cycle</w:t>
            </w:r>
          </w:p>
        </w:tc>
        <w:tc>
          <w:tcPr/>
          <w:p>
            <w:pPr>
              <w:pStyle w:val="Compact"/>
              <w:jc w:val="left"/>
            </w:pPr>
            <w:r>
              <w:t xml:space="preserve">5,800.00</w:t>
            </w:r>
          </w:p>
        </w:tc>
        <w:tc>
          <w:tcPr/>
          <w:p>
            <w:pPr>
              <w:pStyle w:val="Compact"/>
              <w:jc w:val="left"/>
            </w:pPr>
            <w:r>
              <w:t xml:space="preserve">5,800.00</w:t>
            </w:r>
          </w:p>
        </w:tc>
        <w:tc>
          <w:tcPr/>
          <w:p>
            <w:pPr>
              <w:pStyle w:val="Compact"/>
              <w:jc w:val="left"/>
            </w:pPr>
            <w:r>
              <w:t xml:space="preserve">812.00</w:t>
            </w:r>
          </w:p>
        </w:tc>
      </w:tr>
      <w:tr>
        <w:tc>
          <w:tcPr/>
          <w:p>
            <w:pPr>
              <w:pStyle w:val="Compact"/>
              <w:jc w:val="left"/>
            </w:pPr>
            <w:r>
              <w:t xml:space="preserve">4</w:t>
            </w:r>
          </w:p>
        </w:tc>
        <w:tc>
          <w:tcPr/>
          <w:p>
            <w:pPr>
              <w:pStyle w:val="Compact"/>
              <w:jc w:val="left"/>
            </w:pPr>
            <w:r>
              <w:t xml:space="preserve">Preparation of monthly management accounts and financial statements (Income Statement, Balance Sheet, Cash Flow Statement) in accordance with IFRS as adopted in Egypt, delivered to the client's board in Alexandria.</w:t>
            </w:r>
          </w:p>
        </w:tc>
        <w:tc>
          <w:tcPr/>
          <w:p>
            <w:pPr>
              <w:pStyle w:val="Compact"/>
              <w:jc w:val="left"/>
            </w:pPr>
            <w:r>
              <w:t xml:space="preserve">1 set</w:t>
            </w:r>
          </w:p>
        </w:tc>
        <w:tc>
          <w:tcPr/>
          <w:p>
            <w:pPr>
              <w:pStyle w:val="Compact"/>
              <w:jc w:val="left"/>
            </w:pPr>
            <w:r>
              <w:t xml:space="preserve">6,000.00</w:t>
            </w:r>
          </w:p>
        </w:tc>
        <w:tc>
          <w:tcPr/>
          <w:p>
            <w:pPr>
              <w:pStyle w:val="Compact"/>
              <w:jc w:val="left"/>
            </w:pPr>
            <w:r>
              <w:t xml:space="preserve">6,000.00</w:t>
            </w:r>
          </w:p>
        </w:tc>
        <w:tc>
          <w:tcPr/>
          <w:p>
            <w:pPr>
              <w:pStyle w:val="Compact"/>
              <w:jc w:val="left"/>
            </w:pPr>
            <w:r>
              <w:t xml:space="preserve">840.00</w:t>
            </w:r>
          </w:p>
        </w:tc>
      </w:tr>
      <w:tr>
        <w:tc>
          <w:tcPr/>
          <w:p>
            <w:pPr>
              <w:pStyle w:val="Compact"/>
              <w:jc w:val="left"/>
            </w:pPr>
            <w:r>
              <w:t xml:space="preserve">5</w:t>
            </w:r>
          </w:p>
        </w:tc>
        <w:tc>
          <w:tcPr/>
          <w:p>
            <w:pPr>
              <w:pStyle w:val="Compact"/>
              <w:jc w:val="left"/>
            </w:pPr>
            <w:r>
              <w:t xml:space="preserve">Advisory consultation session (3 hours) regarding tax planning, cost optimization, and regulatory compliance for the client's import-export activities through the Port of Alexandria.</w:t>
            </w:r>
          </w:p>
        </w:tc>
        <w:tc>
          <w:tcPr/>
          <w:p>
            <w:pPr>
              <w:pStyle w:val="Compact"/>
              <w:jc w:val="left"/>
            </w:pPr>
            <w:r>
              <w:t xml:space="preserve">3 hours</w:t>
            </w:r>
          </w:p>
        </w:tc>
        <w:tc>
          <w:tcPr/>
          <w:p>
            <w:pPr>
              <w:pStyle w:val="Compact"/>
              <w:jc w:val="left"/>
            </w:pPr>
            <w:r>
              <w:t xml:space="preserve">1,200.00</w:t>
            </w:r>
          </w:p>
        </w:tc>
        <w:tc>
          <w:tcPr/>
          <w:p>
            <w:pPr>
              <w:pStyle w:val="Compact"/>
              <w:jc w:val="left"/>
            </w:pPr>
            <w:r>
              <w:t xml:space="preserve">3,600.00</w:t>
            </w:r>
          </w:p>
        </w:tc>
        <w:tc>
          <w:tcPr/>
          <w:p>
            <w:pPr>
              <w:pStyle w:val="Compact"/>
              <w:jc w:val="left"/>
            </w:pPr>
            <w:r>
              <w:t xml:space="preserve">504.00</w:t>
            </w:r>
          </w:p>
        </w:tc>
      </w:tr>
      <w:tr>
        <w:tc>
          <w:tcPr/>
          <w:p>
            <w:pPr>
              <w:pStyle w:val="Compact"/>
              <w:jc w:val="left"/>
            </w:pPr>
            <w:r>
              <w:t xml:space="preserve">6</w:t>
            </w:r>
          </w:p>
        </w:tc>
        <w:tc>
          <w:tcPr/>
          <w:p>
            <w:pPr>
              <w:pStyle w:val="Compact"/>
              <w:jc w:val="left"/>
            </w:pPr>
            <w:r>
              <w:t xml:space="preserve">Review and verification of supplier invoices, purchase orders, and customs documentation related to goods cleared at Alexandria Port, ensuring proper accounting treatment and tax deductibility.</w:t>
            </w:r>
          </w:p>
        </w:tc>
        <w:tc>
          <w:tcPr/>
          <w:p>
            <w:pPr>
              <w:pStyle w:val="Compact"/>
              <w:jc w:val="left"/>
            </w:pPr>
            <w:r>
              <w:t xml:space="preserve">1 review</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630.00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(Before VAT)</w:t>
            </w:r>
          </w:p>
        </w:tc>
        <w:tc>
          <w:tcPr/>
          <w:p>
            <w:pPr>
              <w:pStyle w:val="Compact"/>
              <w:jc w:val="right"/>
            </w:pPr>
            <w:r>
              <w:t xml:space="preserve">31,600.00 EGP</w:t>
            </w:r>
          </w:p>
        </w:tc>
      </w:tr>
      <w:tr>
        <w:tc>
          <w:tcPr/>
          <w:p>
            <w:pPr>
              <w:pStyle w:val="Compact"/>
              <w:jc w:val="left"/>
            </w:pPr>
            <w:r>
              <w:t xml:space="preserve">VAT @ 14% (Egyptian Standard Rate)</w:t>
            </w:r>
          </w:p>
        </w:tc>
        <w:tc>
          <w:tcPr/>
          <w:p>
            <w:pPr>
              <w:pStyle w:val="Compact"/>
              <w:jc w:val="right"/>
            </w:pPr>
            <w:r>
              <w:t xml:space="preserve">4,424.00 EGP</w:t>
            </w:r>
          </w:p>
        </w:tc>
      </w:tr>
      <w:tr>
        <w:tc>
          <w:tcPr/>
          <w:p>
            <w:pPr>
              <w:pStyle w:val="Compact"/>
              <w:jc w:val="left"/>
            </w:pPr>
            <w:r>
              <w:t xml:space="preserve">Service Fee Surcharge (Alexandria Municipal)</w:t>
            </w:r>
          </w:p>
        </w:tc>
        <w:tc>
          <w:tcPr/>
          <w:p>
            <w:pPr>
              <w:pStyle w:val="Compact"/>
              <w:jc w:val="right"/>
            </w:pPr>
            <w:r>
              <w:t xml:space="preserve">316.00 EGP</w:t>
            </w:r>
          </w:p>
        </w:tc>
      </w:tr>
      <w:tr>
        <w:tc>
          <w:tcPr/>
          <w:p>
            <w:pPr>
              <w:pStyle w:val="Compact"/>
              <w:jc w:val="left"/>
            </w:pPr>
            <w:r>
              <w:t xml:space="preserve">GRAND TOTAL DUE</w:t>
            </w:r>
          </w:p>
        </w:tc>
        <w:tc>
          <w:tcPr/>
          <w:p>
            <w:pPr>
              <w:pStyle w:val="Compact"/>
              <w:jc w:val="right"/>
            </w:pPr>
            <w:r>
              <w:t xml:space="preserve">36,340.00 EGP</w:t>
            </w:r>
          </w:p>
        </w:tc>
      </w:tr>
    </w:tbl>
    <w:bookmarkStart w:id="24" w:name="payment-terms-important-notes"/>
    <w:p>
      <w:pPr>
        <w:pStyle w:val="Heading4"/>
      </w:pPr>
      <w:r>
        <w:t xml:space="preserve">Payment Terms &amp; Important Notes</w:t>
      </w:r>
    </w:p>
    <w:p>
      <w:pPr>
        <w:numPr>
          <w:ilvl w:val="0"/>
          <w:numId w:val="1001"/>
        </w:numPr>
        <w:pStyle w:val="Compact"/>
      </w:pPr>
      <w:r>
        <w:t xml:space="preserve">This Invoice must be settled in full within fourteen (14) calendar days from the Invoice Date via bank transfer to the Alexandria Certified Accountant &amp; Advisory Firm's account at National Bank of Egypt, Alexandria Branch (IBAN: EG38 NBEK 0000 1001 2345 6789 0).</w:t>
      </w:r>
    </w:p>
    <w:p>
      <w:pPr>
        <w:numPr>
          <w:ilvl w:val="0"/>
          <w:numId w:val="1001"/>
        </w:numPr>
        <w:pStyle w:val="Compact"/>
      </w:pPr>
      <w:r>
        <w:t xml:space="preserve">All amounts are quoted in Egyptian Pounds (EGP). The Accountant firm reserves the right to adjust rates in the event of significant currency fluctuation or changes in the Egyptian Tax Authority's published fee schedules.</w:t>
      </w:r>
    </w:p>
    <w:p>
      <w:pPr>
        <w:numPr>
          <w:ilvl w:val="0"/>
          <w:numId w:val="1001"/>
        </w:numPr>
        <w:pStyle w:val="Compact"/>
      </w:pPr>
      <w:r>
        <w:t xml:space="preserve">Late payments are subject to a penalty of 2% per month, in accordance with the terms of the professional services agreement executed in Egypt Alexandria on 1 January 2025.</w:t>
      </w:r>
    </w:p>
    <w:p>
      <w:pPr>
        <w:numPr>
          <w:ilvl w:val="0"/>
          <w:numId w:val="1001"/>
        </w:numPr>
        <w:pStyle w:val="Compact"/>
      </w:pPr>
      <w:r>
        <w:t xml:space="preserve">This Invoice constitutes a valid tax document under Egyptian law. The client is required to retain this Invoice for a minimum period of ten (10) years as mandated by the Egyptian Tax Code.</w:t>
      </w:r>
    </w:p>
    <w:p>
      <w:pPr>
        <w:numPr>
          <w:ilvl w:val="0"/>
          <w:numId w:val="1001"/>
        </w:numPr>
        <w:pStyle w:val="Compact"/>
      </w:pPr>
      <w:r>
        <w:t xml:space="preserve">All accounting records, ledgers, and supporting documentation prepared by the Accountant for the client in Egypt Alexandria remain the property of the client and shall be returned upon termination of the engagement.</w:t>
      </w:r>
    </w:p>
    <w:p>
      <w:pPr>
        <w:numPr>
          <w:ilvl w:val="0"/>
          <w:numId w:val="1001"/>
        </w:numPr>
        <w:pStyle w:val="Compact"/>
      </w:pPr>
      <w:r>
        <w:t xml:space="preserve">For any disputes arising from this Invoice, the competent courts of Alexandria, Egypt shall have exclusive jurisdiction, in accordance with the governing law of the Arab Republic of Egypt.</w:t>
      </w:r>
    </w:p>
    <w:p>
      <w:pPr>
        <w:numPr>
          <w:ilvl w:val="0"/>
          <w:numId w:val="1001"/>
        </w:numPr>
        <w:pStyle w:val="Compact"/>
      </w:pPr>
      <w:r>
        <w:t xml:space="preserve">The Accountant firm confirms that all services rendered comply with the standards set by the Egyptian Institute of Chartered Accountants (EICA) and the International Federation of Accountants (IFAC).</w:t>
      </w:r>
    </w:p>
    <w:bookmarkEnd w:id="24"/>
    <w:p>
      <w:pPr>
        <w:pStyle w:val="FirstParagraph"/>
      </w:pPr>
      <w:r>
        <w:rPr>
          <w:bCs/>
          <w:b/>
        </w:rPr>
        <w:t xml:space="preserve">Alexandria Certified Accountant &amp; Advisory Firm</w:t>
      </w:r>
      <w:r>
        <w:t xml:space="preserve"> </w:t>
      </w:r>
      <w:r>
        <w:t xml:space="preserve">— Licensed Professional Accountant Practice</w:t>
      </w:r>
    </w:p>
    <w:p>
      <w:pPr>
        <w:pStyle w:val="BodyText"/>
      </w:pPr>
      <w:r>
        <w:t xml:space="preserve">Registered with the Egyptian Institute of Chartered Accountants (EICA) — Alexandria Chapter</w:t>
      </w:r>
    </w:p>
    <w:p>
      <w:pPr>
        <w:pStyle w:val="BodyText"/>
      </w:pPr>
      <w:r>
        <w:t xml:space="preserve">142 Corniche El-Nil Street, El-Montaza, Alexandria, Egypt | Tel: +20 3 482 5567</w:t>
      </w:r>
    </w:p>
    <w:p>
      <w:pPr>
        <w:pStyle w:val="BodyText"/>
      </w:pPr>
      <w:r>
        <w:t xml:space="preserve">This Invoice was generated electronically and is valid without a physical signature. Reference: ALC-2025-00487</w:t>
      </w:r>
    </w:p>
    <w:p>
      <w:pPr>
        <w:pStyle w:val="BodyText"/>
      </w:pPr>
      <w:r>
        <w:t xml:space="preserve">© 2025 Alexandria Certified Accountant &amp; Advisory Firm. All rights reserved. Egypt Alexandria.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Accountant Services - Egypt Alexandria</dc:title>
  <dc:creator/>
  <dc:language>en</dc:language>
  <cp:keywords/>
  <dcterms:created xsi:type="dcterms:W3CDTF">2026-10-10T10:20:22Z</dcterms:created>
  <dcterms:modified xsi:type="dcterms:W3CDTF">2026-10-10T10:20:22Z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