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accountant-tax-advisory-gmbh"/>
    <w:p>
      <w:pPr>
        <w:pStyle w:val="Heading1"/>
      </w:pPr>
      <w:r>
        <w:t xml:space="preserve">Berlin Accountant &amp; Tax Advisory GmbH</w:t>
      </w:r>
    </w:p>
    <w:p>
      <w:pPr>
        <w:pStyle w:val="FirstParagraph"/>
      </w:pPr>
      <w:r>
        <w:t xml:space="preserve">Unter den Linden 42, 10117 Berlin, Germany</w:t>
      </w:r>
    </w:p>
    <w:p>
      <w:pPr>
        <w:pStyle w:val="BodyText"/>
      </w:pPr>
      <w:r>
        <w:t xml:space="preserve">Phone: +49 (0)30 555 78 210</w:t>
      </w:r>
    </w:p>
    <w:p>
      <w:pPr>
        <w:pStyle w:val="BodyText"/>
      </w:pPr>
      <w:r>
        <w:t xml:space="preserve">Email: billing@berlinaccountant.de</w:t>
      </w:r>
    </w:p>
    <w:p>
      <w:pPr>
        <w:pStyle w:val="BodyText"/>
      </w:pPr>
      <w:r>
        <w:t xml:space="preserve">USt-IdNr.: DE 312 456 789</w:t>
      </w:r>
    </w:p>
    <w:p>
      <w:pPr>
        <w:pStyle w:val="BodyText"/>
      </w:pPr>
      <w:r>
        <w:t xml:space="preserve">Handelsregister: HRB 98765 B, Amtsgericht Berlin-Charlottenburg</w:t>
      </w:r>
    </w:p>
    <w:bookmarkEnd w:id="20"/>
    <w:bookmarkStart w:id="21" w:name="invoice"/>
    <w:p>
      <w:pPr>
        <w:pStyle w:val="Heading2"/>
      </w:pPr>
      <w:r>
        <w:t xml:space="preserve">INVOICE</w:t>
      </w:r>
    </w:p>
    <w:p>
      <w:pPr>
        <w:pStyle w:val="FirstParagraph"/>
      </w:pPr>
      <w:r>
        <w:t xml:space="preserve">Rechnung Nr. / Invoice No.: INV-2025-0487</w:t>
      </w:r>
    </w:p>
    <w:p>
      <w:pPr>
        <w:pStyle w:val="BodyText"/>
      </w:pPr>
      <w:r>
        <w:t xml:space="preserve">Invoice Date: 15 June 2025</w:t>
      </w:r>
    </w:p>
    <w:p>
      <w:pPr>
        <w:pStyle w:val="BodyText"/>
      </w:pPr>
      <w:r>
        <w:t xml:space="preserve">Due Date: 30 June 2025</w:t>
      </w:r>
    </w:p>
    <w:p>
      <w:pPr>
        <w:pStyle w:val="BodyText"/>
      </w:pPr>
      <w:r>
        <w:t xml:space="preserve">Reference: ACCT-BER-2025-Q2</w:t>
      </w:r>
    </w:p>
    <w:bookmarkEnd w:id="21"/>
    <w:bookmarkStart w:id="22" w:name="billed-to-rechnungsadresse"/>
    <w:p>
      <w:pPr>
        <w:pStyle w:val="Heading3"/>
      </w:pPr>
      <w:r>
        <w:t xml:space="preserve">Billed To / Rechnungsadresse</w:t>
      </w:r>
    </w:p>
    <w:p>
      <w:pPr>
        <w:pStyle w:val="FirstParagraph"/>
      </w:pPr>
      <w:r>
        <w:rPr>
          <w:bCs/>
          <w:b/>
        </w:rPr>
        <w:t xml:space="preserve">Müller &amp; Partner Handels GmbH</w:t>
      </w:r>
    </w:p>
    <w:p>
      <w:pPr>
        <w:pStyle w:val="BodyText"/>
      </w:pPr>
      <w:r>
        <w:t xml:space="preserve">Attn: Dr. Stefan Müller, Managing Director</w:t>
      </w:r>
    </w:p>
    <w:p>
      <w:pPr>
        <w:pStyle w:val="BodyText"/>
      </w:pPr>
      <w:r>
        <w:t xml:space="preserve">Friedrichstraße 180</w:t>
      </w:r>
    </w:p>
    <w:p>
      <w:pPr>
        <w:pStyle w:val="BodyText"/>
      </w:pPr>
      <w:r>
        <w:t xml:space="preserve">10117 Berlin, Germany</w:t>
      </w:r>
    </w:p>
    <w:p>
      <w:pPr>
        <w:pStyle w:val="BodyText"/>
      </w:pPr>
      <w:r>
        <w:t xml:space="preserve">VAT ID: DE 298 765 432</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April 2025 – 30 June 2025</w:t>
      </w:r>
    </w:p>
    <w:p>
      <w:pPr>
        <w:pStyle w:val="BodyText"/>
      </w:pPr>
      <w:r>
        <w:rPr>
          <w:bCs/>
          <w:b/>
        </w:rPr>
        <w:t xml:space="preserve">Accountant in Charge:</w:t>
      </w:r>
      <w:r>
        <w:t xml:space="preserve"> </w:t>
      </w:r>
      <w:r>
        <w:t xml:space="preserve">Dipl.-Kaufmann Thomas Weber</w:t>
      </w:r>
    </w:p>
    <w:p>
      <w:pPr>
        <w:pStyle w:val="BodyText"/>
      </w:pPr>
      <w:r>
        <w:rPr>
          <w:bCs/>
          <w:b/>
        </w:rPr>
        <w:t xml:space="preserve">Engagement Type:</w:t>
      </w:r>
      <w:r>
        <w:t xml:space="preserve"> </w:t>
      </w:r>
      <w:r>
        <w:t xml:space="preserve">Quarterly Accounting &amp; Tax Advisory</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14 days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Preparation and filing of quarterly VAT returns (Umsatzsteuer-Voranmeldung) for the client's business operations in Germany Berlin, including reconciliation of all sales and purchase invoices.</w:t>
            </w:r>
          </w:p>
        </w:tc>
        <w:tc>
          <w:tcPr/>
          <w:p>
            <w:pPr>
              <w:pStyle w:val="Compact"/>
              <w:jc w:val="left"/>
            </w:pPr>
            <w:r>
              <w:t xml:space="preserve">12.5 hrs</w:t>
            </w:r>
          </w:p>
        </w:tc>
        <w:tc>
          <w:tcPr/>
          <w:p>
            <w:pPr>
              <w:pStyle w:val="Compact"/>
              <w:jc w:val="left"/>
            </w:pPr>
            <w:r>
              <w:t xml:space="preserve">€ 95.00</w:t>
            </w:r>
          </w:p>
        </w:tc>
        <w:tc>
          <w:tcPr/>
          <w:p>
            <w:pPr>
              <w:pStyle w:val="Compact"/>
              <w:jc w:val="left"/>
            </w:pPr>
            <w:r>
              <w:t xml:space="preserve">€ 1,187.50</w:t>
            </w:r>
          </w:p>
        </w:tc>
      </w:tr>
      <w:tr>
        <w:tc>
          <w:tcPr/>
          <w:p>
            <w:pPr>
              <w:pStyle w:val="Compact"/>
              <w:jc w:val="left"/>
            </w:pPr>
            <w:r>
              <w:t xml:space="preserve">2</w:t>
            </w:r>
          </w:p>
        </w:tc>
        <w:tc>
          <w:tcPr/>
          <w:p>
            <w:pPr>
              <w:pStyle w:val="Compact"/>
              <w:jc w:val="left"/>
            </w:pPr>
            <w:r>
              <w:t xml:space="preserve">Monthly bookkeeping and general ledger maintenance, including processing of all incoming and outgoing invoices, bank statement reconciliation, and accounts receivable/payable management for the Berlin-based entity.</w:t>
            </w:r>
          </w:p>
        </w:tc>
        <w:tc>
          <w:tcPr/>
          <w:p>
            <w:pPr>
              <w:pStyle w:val="Compact"/>
              <w:jc w:val="left"/>
            </w:pPr>
            <w:r>
              <w:t xml:space="preserve">24.0 hrs</w:t>
            </w:r>
          </w:p>
        </w:tc>
        <w:tc>
          <w:tcPr/>
          <w:p>
            <w:pPr>
              <w:pStyle w:val="Compact"/>
              <w:jc w:val="left"/>
            </w:pPr>
            <w:r>
              <w:t xml:space="preserve">€ 85.00</w:t>
            </w:r>
          </w:p>
        </w:tc>
        <w:tc>
          <w:tcPr/>
          <w:p>
            <w:pPr>
              <w:pStyle w:val="Compact"/>
              <w:jc w:val="left"/>
            </w:pPr>
            <w:r>
              <w:t xml:space="preserve">€ 2,040.00</w:t>
            </w:r>
          </w:p>
        </w:tc>
      </w:tr>
      <w:tr>
        <w:tc>
          <w:tcPr/>
          <w:p>
            <w:pPr>
              <w:pStyle w:val="Compact"/>
              <w:jc w:val="left"/>
            </w:pPr>
            <w:r>
              <w:t xml:space="preserve">3</w:t>
            </w:r>
          </w:p>
        </w:tc>
        <w:tc>
          <w:tcPr/>
          <w:p>
            <w:pPr>
              <w:pStyle w:val="Compact"/>
              <w:jc w:val="left"/>
            </w:pPr>
            <w:r>
              <w:t xml:space="preserve">Preparation of interim financial statements (Zwischenabschlüsse) in accordance with German Commercial Code (HGB) and IFRS guidelines, including balance sheet, profit and loss statement, and management commentary.</w:t>
            </w:r>
          </w:p>
        </w:tc>
        <w:tc>
          <w:tcPr/>
          <w:p>
            <w:pPr>
              <w:pStyle w:val="Compact"/>
              <w:jc w:val="left"/>
            </w:pPr>
            <w:r>
              <w:t xml:space="preserve">16.0 hrs</w:t>
            </w:r>
          </w:p>
        </w:tc>
        <w:tc>
          <w:tcPr/>
          <w:p>
            <w:pPr>
              <w:pStyle w:val="Compact"/>
              <w:jc w:val="left"/>
            </w:pPr>
            <w:r>
              <w:t xml:space="preserve">€ 110.00</w:t>
            </w:r>
          </w:p>
        </w:tc>
        <w:tc>
          <w:tcPr/>
          <w:p>
            <w:pPr>
              <w:pStyle w:val="Compact"/>
              <w:jc w:val="left"/>
            </w:pPr>
            <w:r>
              <w:t xml:space="preserve">€ 1,760.00</w:t>
            </w:r>
          </w:p>
        </w:tc>
      </w:tr>
      <w:tr>
        <w:tc>
          <w:tcPr/>
          <w:p>
            <w:pPr>
              <w:pStyle w:val="Compact"/>
              <w:jc w:val="left"/>
            </w:pPr>
            <w:r>
              <w:t xml:space="preserve">4</w:t>
            </w:r>
          </w:p>
        </w:tc>
        <w:tc>
          <w:tcPr/>
          <w:p>
            <w:pPr>
              <w:pStyle w:val="Compact"/>
              <w:jc w:val="left"/>
            </w:pPr>
            <w:r>
              <w:t xml:space="preserve">Tax advisory consultation regarding corporate income tax (Körperschaftsteuer) and trade tax (Gewerbesteuer) obligations applicable to the client's operations in Germany Berlin, including a written advisory memorandum.</w:t>
            </w:r>
          </w:p>
        </w:tc>
        <w:tc>
          <w:tcPr/>
          <w:p>
            <w:pPr>
              <w:pStyle w:val="Compact"/>
              <w:jc w:val="left"/>
            </w:pPr>
            <w:r>
              <w:t xml:space="preserve">8.0 hrs</w:t>
            </w:r>
          </w:p>
        </w:tc>
        <w:tc>
          <w:tcPr/>
          <w:p>
            <w:pPr>
              <w:pStyle w:val="Compact"/>
              <w:jc w:val="left"/>
            </w:pPr>
            <w:r>
              <w:t xml:space="preserve">€ 120.00</w:t>
            </w:r>
          </w:p>
        </w:tc>
        <w:tc>
          <w:tcPr/>
          <w:p>
            <w:pPr>
              <w:pStyle w:val="Compact"/>
              <w:jc w:val="left"/>
            </w:pPr>
            <w:r>
              <w:t xml:space="preserve">€ 960.00</w:t>
            </w:r>
          </w:p>
        </w:tc>
      </w:tr>
      <w:tr>
        <w:tc>
          <w:tcPr/>
          <w:p>
            <w:pPr>
              <w:pStyle w:val="Compact"/>
              <w:jc w:val="left"/>
            </w:pPr>
            <w:r>
              <w:t xml:space="preserve">5</w:t>
            </w:r>
          </w:p>
        </w:tc>
        <w:tc>
          <w:tcPr/>
          <w:p>
            <w:pPr>
              <w:pStyle w:val="Compact"/>
              <w:jc w:val="left"/>
            </w:pPr>
            <w:r>
              <w:t xml:space="preserve">Payroll accounting and social security contribution calculations (Sozialversicherungsbeiträge) for 14 employees, including preparation of wage tax advance payments (Lohnsteuer-Anmeldung) and reporting to the relevant Berlin tax authority (Finanzamt Berlin-Mitte).</w:t>
            </w:r>
          </w:p>
        </w:tc>
        <w:tc>
          <w:tcPr/>
          <w:p>
            <w:pPr>
              <w:pStyle w:val="Compact"/>
              <w:jc w:val="left"/>
            </w:pPr>
            <w:r>
              <w:t xml:space="preserve">10.0 hrs</w:t>
            </w:r>
          </w:p>
        </w:tc>
        <w:tc>
          <w:tcPr/>
          <w:p>
            <w:pPr>
              <w:pStyle w:val="Compact"/>
              <w:jc w:val="left"/>
            </w:pPr>
            <w:r>
              <w:t xml:space="preserve">€ 90.00</w:t>
            </w:r>
          </w:p>
        </w:tc>
        <w:tc>
          <w:tcPr/>
          <w:p>
            <w:pPr>
              <w:pStyle w:val="Compact"/>
              <w:jc w:val="left"/>
            </w:pPr>
            <w:r>
              <w:t xml:space="preserve">€ 900.00</w:t>
            </w:r>
          </w:p>
        </w:tc>
      </w:tr>
      <w:tr>
        <w:tc>
          <w:tcPr/>
          <w:p>
            <w:pPr>
              <w:pStyle w:val="Compact"/>
              <w:jc w:val="left"/>
            </w:pPr>
            <w:r>
              <w:t xml:space="preserve">6</w:t>
            </w:r>
          </w:p>
        </w:tc>
        <w:tc>
          <w:tcPr/>
          <w:p>
            <w:pPr>
              <w:pStyle w:val="Compact"/>
              <w:jc w:val="left"/>
            </w:pPr>
            <w:r>
              <w:t xml:space="preserve">Annual audit preparation support, including compilation of audit trail documentation, fixed asset register updates, and coordination with the statutory auditor (Wirtschaftsprüfer) for the fiscal year 2025.</w:t>
            </w:r>
          </w:p>
        </w:tc>
        <w:tc>
          <w:tcPr/>
          <w:p>
            <w:pPr>
              <w:pStyle w:val="Compact"/>
              <w:jc w:val="left"/>
            </w:pPr>
            <w:r>
              <w:t xml:space="preserve">6.5 hrs</w:t>
            </w:r>
          </w:p>
        </w:tc>
        <w:tc>
          <w:tcPr/>
          <w:p>
            <w:pPr>
              <w:pStyle w:val="Compact"/>
              <w:jc w:val="left"/>
            </w:pPr>
            <w:r>
              <w:t xml:space="preserve">€ 105.00</w:t>
            </w:r>
          </w:p>
        </w:tc>
        <w:tc>
          <w:tcPr/>
          <w:p>
            <w:pPr>
              <w:pStyle w:val="Compact"/>
              <w:jc w:val="left"/>
            </w:pPr>
            <w:r>
              <w:t xml:space="preserve">€ 682.50</w:t>
            </w:r>
          </w:p>
        </w:tc>
      </w:tr>
      <w:tr>
        <w:tc>
          <w:tcPr/>
          <w:p>
            <w:pPr>
              <w:pStyle w:val="Compact"/>
              <w:jc w:val="left"/>
            </w:pPr>
            <w:r>
              <w:t xml:space="preserve">7</w:t>
            </w:r>
          </w:p>
        </w:tc>
        <w:tc>
          <w:tcPr/>
          <w:p>
            <w:pPr>
              <w:pStyle w:val="Compact"/>
              <w:jc w:val="left"/>
            </w:pPr>
            <w:r>
              <w:t xml:space="preserve">Compliance review and regulatory update briefing on recent changes to German tax law and accounting standards affecting businesses registered in Germany Berlin, delivered as a 90-minute on-site workshop at the client's Berlin office.</w:t>
            </w:r>
          </w:p>
        </w:tc>
        <w:tc>
          <w:tcPr/>
          <w:p>
            <w:pPr>
              <w:pStyle w:val="Compact"/>
              <w:jc w:val="left"/>
            </w:pPr>
            <w:r>
              <w:t xml:space="preserve">1.5 days</w:t>
            </w:r>
          </w:p>
        </w:tc>
        <w:tc>
          <w:tcPr/>
          <w:p>
            <w:pPr>
              <w:pStyle w:val="Compact"/>
              <w:jc w:val="left"/>
            </w:pPr>
            <w:r>
              <w:t xml:space="preserve">€ 450.00</w:t>
            </w:r>
          </w:p>
        </w:tc>
        <w:tc>
          <w:tcPr/>
          <w:p>
            <w:pPr>
              <w:pStyle w:val="Compact"/>
              <w:jc w:val="left"/>
            </w:pPr>
            <w:r>
              <w:t xml:space="preserve">€ 675.00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€ 8,205.00</w:t>
            </w:r>
          </w:p>
        </w:tc>
      </w:tr>
      <w:tr>
        <w:tc>
          <w:tcPr/>
          <w:p>
            <w:pPr>
              <w:pStyle w:val="Compact"/>
              <w:jc w:val="left"/>
            </w:pPr>
            <w:r>
              <w:t xml:space="preserve">VAT 19% (Umsatzsteuer)</w:t>
            </w:r>
          </w:p>
        </w:tc>
        <w:tc>
          <w:tcPr/>
          <w:p>
            <w:pPr>
              <w:pStyle w:val="Compact"/>
              <w:jc w:val="left"/>
            </w:pPr>
            <w:r>
              <w:t xml:space="preserve">€ 1,558.95</w:t>
            </w:r>
          </w:p>
        </w:tc>
      </w:tr>
      <w:tr>
        <w:tc>
          <w:tcPr/>
          <w:p>
            <w:pPr>
              <w:pStyle w:val="Compact"/>
              <w:jc w:val="left"/>
            </w:pPr>
            <w:r>
              <w:t xml:space="preserve">Total Due (Brutto)</w:t>
            </w:r>
          </w:p>
        </w:tc>
        <w:tc>
          <w:tcPr/>
          <w:p>
            <w:pPr>
              <w:pStyle w:val="Compact"/>
              <w:jc w:val="left"/>
            </w:pPr>
            <w:r>
              <w:t xml:space="preserve">€ 9,763.95</w:t>
            </w:r>
          </w:p>
        </w:tc>
      </w:tr>
    </w:tbl>
    <w:bookmarkStart w:id="24" w:name="payment-information-zahlungsdaten"/>
    <w:p>
      <w:pPr>
        <w:pStyle w:val="Heading3"/>
      </w:pPr>
      <w:r>
        <w:t xml:space="preserve">Payment Information / Zahlungsdaten</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DEUTDEBBXXX</w:t>
      </w:r>
    </w:p>
    <w:p>
      <w:pPr>
        <w:pStyle w:val="BodyText"/>
      </w:pPr>
      <w:r>
        <w:rPr>
          <w:bCs/>
          <w:b/>
        </w:rPr>
        <w:t xml:space="preserve">Account Holder:</w:t>
      </w:r>
      <w:r>
        <w:t xml:space="preserve"> </w:t>
      </w:r>
      <w:r>
        <w:t xml:space="preserve">Berlin Accountant &amp; Tax Advisory GmbH</w:t>
      </w:r>
    </w:p>
    <w:p>
      <w:pPr>
        <w:pStyle w:val="BodyText"/>
      </w:pPr>
      <w:r>
        <w:rPr>
          <w:bCs/>
          <w:b/>
        </w:rPr>
        <w:t xml:space="preserve">Reference (Verwendungszweck):</w:t>
      </w:r>
      <w:r>
        <w:t xml:space="preserve"> </w:t>
      </w:r>
      <w:r>
        <w:t xml:space="preserve">INV-2025-0487 / Müller &amp; Partner Handels GmbH</w:t>
      </w:r>
    </w:p>
    <w:p>
      <w:pPr>
        <w:pStyle w:val="BodyText"/>
      </w:pPr>
      <w:r>
        <w:rPr>
          <w:bCs/>
          <w:b/>
        </w:rPr>
        <w:t xml:space="preserve">Payment Method:</w:t>
      </w:r>
      <w:r>
        <w:t xml:space="preserve"> </w:t>
      </w:r>
      <w:r>
        <w:t xml:space="preserve">Bank Transfer (SEPA-Überweisung) only. Please do not send cash or cheques.</w:t>
      </w:r>
    </w:p>
    <w:bookmarkEnd w:id="24"/>
    <w:bookmarkStart w:id="25" w:name="notes-and-terms-of-this-invoice"/>
    <w:p>
      <w:pPr>
        <w:pStyle w:val="Heading3"/>
      </w:pPr>
      <w:r>
        <w:t xml:space="preserve">Notes and Terms of This Invoice</w:t>
      </w:r>
    </w:p>
    <w:p>
      <w:pPr>
        <w:numPr>
          <w:ilvl w:val="0"/>
          <w:numId w:val="1001"/>
        </w:numPr>
        <w:pStyle w:val="Compact"/>
      </w:pPr>
      <w:r>
        <w:t xml:space="preserve">This invoice is issued by a licensed Accountant firm registered in Germany Berlin and is governed by the German Civil Code (Bürgerliches Gesetzbuch – BGB) and the German Tax Code (Abgabenordnung – AO).</w:t>
      </w:r>
    </w:p>
    <w:p>
      <w:pPr>
        <w:numPr>
          <w:ilvl w:val="0"/>
          <w:numId w:val="1001"/>
        </w:numPr>
        <w:pStyle w:val="Compact"/>
      </w:pPr>
      <w:r>
        <w:t xml:space="preserve">Payment is due within fourteen (14) calendar days from the date of this invoice. Late payments will incur statutory interest at the rate of 8 percentage points above the European Central Bank base rate, as stipulated under § 288 BGB.</w:t>
      </w:r>
    </w:p>
    <w:p>
      <w:pPr>
        <w:numPr>
          <w:ilvl w:val="0"/>
          <w:numId w:val="1001"/>
        </w:numPr>
        <w:pStyle w:val="Compact"/>
      </w:pPr>
      <w:r>
        <w:t xml:space="preserve">All accounting and tax advisory services described in this invoice have been performed in accordance with the professional standards of the Institut der Wirtschaftsprüfer (IDW) and the applicable regulations of the Berlin Chamber of Tax Advisors (Steuerberaterkammer Berlin).</w:t>
      </w:r>
    </w:p>
    <w:p>
      <w:pPr>
        <w:numPr>
          <w:ilvl w:val="0"/>
          <w:numId w:val="1001"/>
        </w:numPr>
        <w:pStyle w:val="Compact"/>
      </w:pPr>
      <w:r>
        <w:t xml:space="preserve">The Accountant services rendered under this engagement are subject to professional confidentiality under § 43 of the German Tax Consultants Act (StBerG). All financial data, invoices, and records provided by the client will be treated with the utmost discretion.</w:t>
      </w:r>
    </w:p>
    <w:p>
      <w:pPr>
        <w:numPr>
          <w:ilvl w:val="0"/>
          <w:numId w:val="1001"/>
        </w:numPr>
        <w:pStyle w:val="Compact"/>
      </w:pPr>
      <w:r>
        <w:t xml:space="preserve">Should the client wish to dispute any line item on this invoice, written notice must be provided to the undersigned Accountant within ten (10) business days of receipt. Undisputed portions remain payable on the original due date.</w:t>
      </w:r>
    </w:p>
    <w:p>
      <w:pPr>
        <w:numPr>
          <w:ilvl w:val="0"/>
          <w:numId w:val="1001"/>
        </w:numPr>
        <w:pStyle w:val="Compact"/>
      </w:pPr>
      <w:r>
        <w:t xml:space="preserve">This invoice constitutes a valid tax document (Rechnung) under § 14 of the German VAT Act (Umsatzsteuergesetz – UStG) and may be used by the client for input tax deduction purposes, provided all statutory requirements are met.</w:t>
      </w:r>
    </w:p>
    <w:p>
      <w:pPr>
        <w:numPr>
          <w:ilvl w:val="0"/>
          <w:numId w:val="1001"/>
        </w:numPr>
        <w:pStyle w:val="Compact"/>
      </w:pPr>
      <w:r>
        <w:t xml:space="preserve">Electronic copies of this invoice are equally valid. The original document is available upon request at our office located at Unter den Linden 42, 10117 Berlin, Germany.</w:t>
      </w:r>
    </w:p>
    <w:bookmarkEnd w:id="25"/>
    <w:p>
      <w:pPr>
        <w:pStyle w:val="FirstParagraph"/>
      </w:pPr>
      <w:r>
        <w:rPr>
          <w:bCs/>
          <w:b/>
        </w:rPr>
        <w:t xml:space="preserve">Berlin Accountant &amp; Tax Advisory GmbH</w:t>
      </w:r>
      <w:r>
        <w:t xml:space="preserve"> </w:t>
      </w:r>
      <w:r>
        <w:t xml:space="preserve">| Managing Director: Dipl.-Kaufmann Thomas Weber</w:t>
      </w:r>
    </w:p>
    <w:p>
      <w:pPr>
        <w:pStyle w:val="BodyText"/>
      </w:pPr>
      <w:r>
        <w:t xml:space="preserve">Unter den Linden 42, 10117 Berlin, Germany | Phone: +49 (0)30 555 78 210 | Email: billing@berlinaccountant.de</w:t>
      </w:r>
    </w:p>
    <w:p>
      <w:pPr>
        <w:pStyle w:val="BodyText"/>
      </w:pPr>
      <w:r>
        <w:t xml:space="preserve">USt-IdNr.: DE 312 456 789 | HRB 98765 B, Amtsgericht Berlin-Charlottenburg</w:t>
      </w:r>
    </w:p>
    <w:p>
      <w:pPr>
        <w:pStyle w:val="BodyText"/>
      </w:pPr>
      <w:r>
        <w:t xml:space="preserve">This invoice was prepared and issued in Germany Berlin by a certified Accountant in compliance with all applicable German federal and state regulations. The services described herein are provided under a professional engagement contract dated 1 January 2025. In the event of any dispute, the exclusive jurisdiction of the competent courts in Berlin, Germany shall apply. This document is valid without a signature pursuant to § 126a BGB.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Germany Berlin</dc:title>
  <dc:creator/>
  <dc:language>en</dc:language>
  <cp:keywords/>
  <dcterms:created xsi:type="dcterms:W3CDTF">2026-10-10T06:39:10Z</dcterms:created>
  <dcterms:modified xsi:type="dcterms:W3CDTF">2026-10-10T06:39:10Z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