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Germany</w:t>
      </w:r>
      <w:r>
        <w:t xml:space="preserve"> </w:t>
      </w:r>
      <w:r>
        <w:t xml:space="preserve">Frankfurt</w:t>
      </w:r>
    </w:p>
    <w:bookmarkStart w:id="20" w:name="frankfurt-accountant-tax-advisory-gmbh"/>
    <w:p>
      <w:pPr>
        <w:pStyle w:val="Heading1"/>
      </w:pPr>
      <w:r>
        <w:t xml:space="preserve">Frankfurt Accountant &amp; Tax Advisory GmbH</w:t>
      </w:r>
    </w:p>
    <w:p>
      <w:pPr>
        <w:pStyle w:val="FirstParagraph"/>
      </w:pPr>
      <w:r>
        <w:t xml:space="preserve">Accountant Services Division</w:t>
      </w:r>
    </w:p>
    <w:p>
      <w:pPr>
        <w:pStyle w:val="BodyText"/>
      </w:pPr>
      <w:r>
        <w:t xml:space="preserve">Mainzer Landstraße 142, 60329 Frankfurt am Main, Germany</w:t>
      </w:r>
    </w:p>
    <w:p>
      <w:pPr>
        <w:pStyle w:val="BodyText"/>
      </w:pPr>
      <w:r>
        <w:t xml:space="preserve">Phone: +49 (0)69 4455 8821 | Email: billing@frankfurt-accountant.de</w:t>
      </w:r>
    </w:p>
    <w:p>
      <w:pPr>
        <w:pStyle w:val="BodyText"/>
      </w:pPr>
      <w:r>
        <w:t xml:space="preserve">USt-IdNr.: DE 318 456 721 | HRB 98765 Frankfurt am Main</w:t>
      </w:r>
    </w:p>
    <w:bookmarkEnd w:id="20"/>
    <w:bookmarkStart w:id="21" w:name="invoice"/>
    <w:p>
      <w:pPr>
        <w:pStyle w:val="Heading2"/>
      </w:pPr>
      <w:r>
        <w:t xml:space="preserve">INVOICE</w:t>
      </w:r>
    </w:p>
    <w:p>
      <w:pPr>
        <w:pStyle w:val="FirstParagraph"/>
      </w:pPr>
      <w:r>
        <w:t xml:space="preserve">Rechnung / Invoice</w:t>
      </w:r>
    </w:p>
    <w:p>
      <w:pPr>
        <w:pStyle w:val="BodyText"/>
      </w:pPr>
      <w:r>
        <w:t xml:space="preserve">Professional Accountant Services</w:t>
      </w:r>
    </w:p>
    <w:bookmarkEnd w:id="21"/>
    <w:bookmarkStart w:id="22" w:name="invoice-details"/>
    <w:p>
      <w:pPr>
        <w:pStyle w:val="Heading3"/>
      </w:pPr>
      <w:r>
        <w:t xml:space="preserve">Invoice Details</w:t>
      </w:r>
    </w:p>
    <w:p>
      <w:pPr>
        <w:pStyle w:val="FirstParagraph"/>
      </w:pPr>
      <w:r>
        <w:rPr>
          <w:bCs/>
          <w:b/>
        </w:rPr>
        <w:t xml:space="preserve">Invoice Number:</w:t>
      </w:r>
      <w:r>
        <w:t xml:space="preserve"> </w:t>
      </w:r>
      <w:r>
        <w:t xml:space="preserve">INV-2025-00487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14 days</w:t>
      </w:r>
    </w:p>
    <w:bookmarkEnd w:id="22"/>
    <w:bookmarkStart w:id="23" w:name="billed-to-client"/>
    <w:p>
      <w:pPr>
        <w:pStyle w:val="Heading3"/>
      </w:pPr>
      <w:r>
        <w:t xml:space="preserve">Billed To (Client)</w:t>
      </w:r>
    </w:p>
    <w:p>
      <w:pPr>
        <w:pStyle w:val="FirstParagraph"/>
      </w:pPr>
      <w:r>
        <w:rPr>
          <w:bCs/>
          <w:b/>
        </w:rPr>
        <w:t xml:space="preserve">Meridian Handels GmbH</w:t>
      </w:r>
    </w:p>
    <w:p>
      <w:pPr>
        <w:pStyle w:val="BodyText"/>
      </w:pPr>
      <w:r>
        <w:t xml:space="preserve">Attn: Dr. Klaus Weber, CFO</w:t>
      </w:r>
    </w:p>
    <w:p>
      <w:pPr>
        <w:pStyle w:val="BodyText"/>
      </w:pPr>
      <w:r>
        <w:t xml:space="preserve">Bockenheimer Landstraße 88</w:t>
      </w:r>
    </w:p>
    <w:p>
      <w:pPr>
        <w:pStyle w:val="BodyText"/>
      </w:pPr>
      <w:r>
        <w:t xml:space="preserve">60323 Frankfurt am Main, Germany</w:t>
      </w:r>
    </w:p>
    <w:p>
      <w:pPr>
        <w:pStyle w:val="BodyText"/>
      </w:pPr>
      <w:r>
        <w:t xml:space="preserve">USt-IdNr.: DE 294 112 385</w:t>
      </w:r>
    </w:p>
    <w:bookmarkEnd w:id="23"/>
    <w:bookmarkStart w:id="24" w:name="accountant-reference"/>
    <w:p>
      <w:pPr>
        <w:pStyle w:val="Heading3"/>
      </w:pPr>
      <w:r>
        <w:t xml:space="preserve">Accountant Reference</w:t>
      </w:r>
    </w:p>
    <w:p>
      <w:pPr>
        <w:pStyle w:val="FirstParagraph"/>
      </w:pPr>
      <w:r>
        <w:rPr>
          <w:bCs/>
          <w:b/>
        </w:rPr>
        <w:t xml:space="preserve">Lead Accountant:</w:t>
      </w:r>
      <w:r>
        <w:t xml:space="preserve"> </w:t>
      </w:r>
      <w:r>
        <w:t xml:space="preserve">Sarah Lindemann, CPA</w:t>
      </w:r>
    </w:p>
    <w:p>
      <w:pPr>
        <w:pStyle w:val="BodyText"/>
      </w:pPr>
      <w:r>
        <w:rPr>
          <w:bCs/>
          <w:b/>
        </w:rPr>
        <w:t xml:space="preserve">Engagement Code:</w:t>
      </w:r>
      <w:r>
        <w:t xml:space="preserve"> </w:t>
      </w:r>
      <w:r>
        <w:t xml:space="preserve">ACC-FRA-2025-031</w:t>
      </w:r>
    </w:p>
    <w:p>
      <w:pPr>
        <w:pStyle w:val="BodyText"/>
      </w:pPr>
      <w:r>
        <w:rPr>
          <w:bCs/>
          <w:b/>
        </w:rPr>
        <w:t xml:space="preserve">Service Period:</w:t>
      </w:r>
      <w:r>
        <w:t xml:space="preserve"> </w:t>
      </w:r>
      <w:r>
        <w:t xml:space="preserve">01 Apr 2025 – 30 May 2025</w:t>
      </w:r>
    </w:p>
    <w:p>
      <w:pPr>
        <w:pStyle w:val="BodyText"/>
      </w:pPr>
      <w:r>
        <w:rPr>
          <w:bCs/>
          <w:b/>
        </w:rPr>
        <w:t xml:space="preserve">Location:</w:t>
      </w:r>
      <w:r>
        <w:t xml:space="preserve"> </w:t>
      </w:r>
      <w:r>
        <w:t xml:space="preserve">Frankfurt, Germany</w:t>
      </w:r>
    </w:p>
    <w:bookmarkEnd w:id="24"/>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Accountant Services</w:t>
            </w:r>
          </w:p>
        </w:tc>
        <w:tc>
          <w:tcPr/>
          <w:p>
            <w:pPr>
              <w:pStyle w:val="Compact"/>
              <w:jc w:val="left"/>
            </w:pPr>
            <w:r>
              <w:t xml:space="preserve">Hours / Units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rPr>
                <w:bCs/>
                <w:b/>
              </w:rPr>
              <w:t xml:space="preserve">Monthly Bookkeeping &amp; General Ledger Maintenance</w:t>
            </w:r>
            <w:r>
              <w:br/>
            </w:r>
            <w:r>
              <w:t xml:space="preserve">Comprehensive accountant-led bookkeeping for all business transactions in Frankfurt, Germany. Includes reconciliation of bank accounts, accounts payable, accounts receivable, and preparation of the general ledger in compliance with German Commercial Code (HGB) and tax regulations.</w:t>
            </w:r>
          </w:p>
        </w:tc>
        <w:tc>
          <w:tcPr/>
          <w:p>
            <w:pPr>
              <w:pStyle w:val="Compact"/>
              <w:jc w:val="left"/>
            </w:pPr>
            <w:r>
              <w:t xml:space="preserve">40 hrs</w:t>
            </w:r>
          </w:p>
        </w:tc>
        <w:tc>
          <w:tcPr/>
          <w:p>
            <w:pPr>
              <w:pStyle w:val="Compact"/>
              <w:jc w:val="left"/>
            </w:pPr>
            <w:r>
              <w:t xml:space="preserve">€95.00</w:t>
            </w:r>
          </w:p>
        </w:tc>
        <w:tc>
          <w:tcPr/>
          <w:p>
            <w:pPr>
              <w:pStyle w:val="Compact"/>
              <w:jc w:val="left"/>
            </w:pPr>
            <w:r>
              <w:t xml:space="preserve">€3,800.00</w:t>
            </w:r>
          </w:p>
        </w:tc>
      </w:tr>
      <w:tr>
        <w:tc>
          <w:tcPr/>
          <w:p>
            <w:pPr>
              <w:pStyle w:val="Compact"/>
              <w:jc w:val="left"/>
            </w:pPr>
            <w:r>
              <w:t xml:space="preserve">2</w:t>
            </w:r>
          </w:p>
        </w:tc>
        <w:tc>
          <w:tcPr/>
          <w:p>
            <w:pPr>
              <w:pStyle w:val="Compact"/>
              <w:jc w:val="left"/>
            </w:pPr>
            <w:r>
              <w:rPr>
                <w:bCs/>
                <w:b/>
              </w:rPr>
              <w:t xml:space="preserve">Monthly Financial Statements &amp; Management Reporting</w:t>
            </w:r>
            <w:r>
              <w:br/>
            </w:r>
            <w:r>
              <w:t xml:space="preserve">Preparation of monthly balance sheet, profit and loss statement, and cash flow report by our senior accountant team. Includes variance analysis, key performance indicator dashboards, and a written commentary for executive review in Frankfurt.</w:t>
            </w:r>
          </w:p>
        </w:tc>
        <w:tc>
          <w:tcPr/>
          <w:p>
            <w:pPr>
              <w:pStyle w:val="Compact"/>
              <w:jc w:val="left"/>
            </w:pPr>
            <w:r>
              <w:t xml:space="preserve">16 hrs</w:t>
            </w:r>
          </w:p>
        </w:tc>
        <w:tc>
          <w:tcPr/>
          <w:p>
            <w:pPr>
              <w:pStyle w:val="Compact"/>
              <w:jc w:val="left"/>
            </w:pPr>
            <w:r>
              <w:t xml:space="preserve">€110.00</w:t>
            </w:r>
          </w:p>
        </w:tc>
        <w:tc>
          <w:tcPr/>
          <w:p>
            <w:pPr>
              <w:pStyle w:val="Compact"/>
              <w:jc w:val="left"/>
            </w:pPr>
            <w:r>
              <w:t xml:space="preserve">€1,760.00</w:t>
            </w:r>
          </w:p>
        </w:tc>
      </w:tr>
      <w:tr>
        <w:tc>
          <w:tcPr/>
          <w:p>
            <w:pPr>
              <w:pStyle w:val="Compact"/>
              <w:jc w:val="left"/>
            </w:pPr>
            <w:r>
              <w:t xml:space="preserve">3</w:t>
            </w:r>
          </w:p>
        </w:tc>
        <w:tc>
          <w:tcPr/>
          <w:p>
            <w:pPr>
              <w:pStyle w:val="Compact"/>
              <w:jc w:val="left"/>
            </w:pPr>
            <w:r>
              <w:rPr>
                <w:bCs/>
                <w:b/>
              </w:rPr>
              <w:t xml:space="preserve">VAT (Mehrwertsteuer) Filing &amp; Compliance</w:t>
            </w:r>
            <w:r>
              <w:br/>
            </w:r>
            <w:r>
              <w:t xml:space="preserve">Accountant-managed preparation and electronic submission of monthly VAT returns (Umsatzsteuer-Voranmeldung) to the Finanzamt Frankfurt. Includes intra-community acquisition declarations, reverse charge documentation, and VAT reconciliation for all operations within Germany.</w:t>
            </w:r>
          </w:p>
        </w:tc>
        <w:tc>
          <w:tcPr/>
          <w:p>
            <w:pPr>
              <w:pStyle w:val="Compact"/>
              <w:jc w:val="left"/>
            </w:pPr>
            <w:r>
              <w:t xml:space="preserve">12 hrs</w:t>
            </w:r>
          </w:p>
        </w:tc>
        <w:tc>
          <w:tcPr/>
          <w:p>
            <w:pPr>
              <w:pStyle w:val="Compact"/>
              <w:jc w:val="left"/>
            </w:pPr>
            <w:r>
              <w:t xml:space="preserve">€105.00</w:t>
            </w:r>
          </w:p>
        </w:tc>
        <w:tc>
          <w:tcPr/>
          <w:p>
            <w:pPr>
              <w:pStyle w:val="Compact"/>
              <w:jc w:val="left"/>
            </w:pPr>
            <w:r>
              <w:t xml:space="preserve">€1,260.00</w:t>
            </w:r>
          </w:p>
        </w:tc>
      </w:tr>
      <w:tr>
        <w:tc>
          <w:tcPr/>
          <w:p>
            <w:pPr>
              <w:pStyle w:val="Compact"/>
              <w:jc w:val="left"/>
            </w:pPr>
            <w:r>
              <w:t xml:space="preserve">4</w:t>
            </w:r>
          </w:p>
        </w:tc>
        <w:tc>
          <w:tcPr/>
          <w:p>
            <w:pPr>
              <w:pStyle w:val="Compact"/>
              <w:jc w:val="left"/>
            </w:pPr>
            <w:r>
              <w:rPr>
                <w:bCs/>
                <w:b/>
              </w:rPr>
              <w:t xml:space="preserve">Payroll Accounting &amp; Social Security Reporting</w:t>
            </w:r>
            <w:r>
              <w:br/>
            </w:r>
            <w:r>
              <w:t xml:space="preserve">Full-service payroll accountant processing for 24 employees. Includes wage calculation, social security contributions (Rentenversicherung, Krankenversicherung, Arbeitslosenversicherung), church tax, and electronic wage tax reporting (ELStAM) to the relevant authorities in Frankfurt, Germany.</w:t>
            </w:r>
          </w:p>
        </w:tc>
        <w:tc>
          <w:tcPr/>
          <w:p>
            <w:pPr>
              <w:pStyle w:val="Compact"/>
              <w:jc w:val="left"/>
            </w:pPr>
            <w:r>
              <w:t xml:space="preserve">28 hrs</w:t>
            </w:r>
          </w:p>
        </w:tc>
        <w:tc>
          <w:tcPr/>
          <w:p>
            <w:pPr>
              <w:pStyle w:val="Compact"/>
              <w:jc w:val="left"/>
            </w:pPr>
            <w:r>
              <w:t xml:space="preserve">€90.00</w:t>
            </w:r>
          </w:p>
        </w:tc>
        <w:tc>
          <w:tcPr/>
          <w:p>
            <w:pPr>
              <w:pStyle w:val="Compact"/>
              <w:jc w:val="left"/>
            </w:pPr>
            <w:r>
              <w:t xml:space="preserve">€2,520.00</w:t>
            </w:r>
          </w:p>
        </w:tc>
      </w:tr>
      <w:tr>
        <w:tc>
          <w:tcPr/>
          <w:p>
            <w:pPr>
              <w:pStyle w:val="Compact"/>
              <w:jc w:val="left"/>
            </w:pPr>
            <w:r>
              <w:t xml:space="preserve">5</w:t>
            </w:r>
          </w:p>
        </w:tc>
        <w:tc>
          <w:tcPr/>
          <w:p>
            <w:pPr>
              <w:pStyle w:val="Compact"/>
              <w:jc w:val="left"/>
            </w:pPr>
            <w:r>
              <w:rPr>
                <w:bCs/>
                <w:b/>
              </w:rPr>
              <w:t xml:space="preserve">Tax Advisory &amp; Corporate Tax Planning</w:t>
            </w:r>
            <w:r>
              <w:br/>
            </w:r>
            <w:r>
              <w:t xml:space="preserve">Strategic accountant consultation on corporate income tax (Körperschaftsteuer), trade tax (Gewerbesteuer), and tax-efficient structuring of intercompany transactions. Includes a detailed advisory memorandum and two in-person meetings at our Frankfurt office.</w:t>
            </w:r>
          </w:p>
        </w:tc>
        <w:tc>
          <w:tcPr/>
          <w:p>
            <w:pPr>
              <w:pStyle w:val="Compact"/>
              <w:jc w:val="left"/>
            </w:pPr>
            <w:r>
              <w:t xml:space="preserve">10 hrs</w:t>
            </w:r>
          </w:p>
        </w:tc>
        <w:tc>
          <w:tcPr/>
          <w:p>
            <w:pPr>
              <w:pStyle w:val="Compact"/>
              <w:jc w:val="left"/>
            </w:pPr>
            <w:r>
              <w:t xml:space="preserve">€145.00</w:t>
            </w:r>
          </w:p>
        </w:tc>
        <w:tc>
          <w:tcPr/>
          <w:p>
            <w:pPr>
              <w:pStyle w:val="Compact"/>
              <w:jc w:val="left"/>
            </w:pPr>
            <w:r>
              <w:t xml:space="preserve">€1,450.00</w:t>
            </w:r>
          </w:p>
        </w:tc>
      </w:tr>
      <w:tr>
        <w:tc>
          <w:tcPr/>
          <w:p>
            <w:pPr>
              <w:pStyle w:val="Compact"/>
              <w:jc w:val="left"/>
            </w:pPr>
            <w:r>
              <w:t xml:space="preserve">6</w:t>
            </w:r>
          </w:p>
        </w:tc>
        <w:tc>
          <w:tcPr/>
          <w:p>
            <w:pPr>
              <w:pStyle w:val="Compact"/>
              <w:jc w:val="left"/>
            </w:pPr>
            <w:r>
              <w:rPr>
                <w:bCs/>
                <w:b/>
              </w:rPr>
              <w:t xml:space="preserve">Year-End Audit Preparation &amp; Documentation</w:t>
            </w:r>
            <w:r>
              <w:br/>
            </w:r>
            <w:r>
              <w:t xml:space="preserve">Accountant-led preparation of audit-ready documentation, trial balance verification, fixed asset register updates, and coordination with the external statutory auditor. Ensures full compliance with German auditing standards (IDW) for the fiscal year ending 31 December 2025.</w:t>
            </w:r>
          </w:p>
        </w:tc>
        <w:tc>
          <w:tcPr/>
          <w:p>
            <w:pPr>
              <w:pStyle w:val="Compact"/>
              <w:jc w:val="left"/>
            </w:pPr>
            <w:r>
              <w:t xml:space="preserve">20 hrs</w:t>
            </w:r>
          </w:p>
        </w:tc>
        <w:tc>
          <w:tcPr/>
          <w:p>
            <w:pPr>
              <w:pStyle w:val="Compact"/>
              <w:jc w:val="left"/>
            </w:pPr>
            <w:r>
              <w:t xml:space="preserve">€100.00</w:t>
            </w:r>
          </w:p>
        </w:tc>
        <w:tc>
          <w:tcPr/>
          <w:p>
            <w:pPr>
              <w:pStyle w:val="Compact"/>
              <w:jc w:val="left"/>
            </w:pPr>
            <w:r>
              <w:t xml:space="preserve">€2,000.00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(Net)</w:t>
            </w:r>
          </w:p>
        </w:tc>
        <w:tc>
          <w:tcPr/>
          <w:p>
            <w:pPr>
              <w:pStyle w:val="Compact"/>
              <w:jc w:val="left"/>
            </w:pPr>
            <w:r>
              <w:t xml:space="preserve">€12,790.00</w:t>
            </w:r>
          </w:p>
        </w:tc>
      </w:tr>
      <w:tr>
        <w:tc>
          <w:tcPr/>
          <w:p>
            <w:pPr>
              <w:pStyle w:val="Compact"/>
              <w:jc w:val="left"/>
            </w:pPr>
            <w:r>
              <w:t xml:space="preserve">VAT (MwSt.) 19%</w:t>
            </w:r>
          </w:p>
        </w:tc>
        <w:tc>
          <w:tcPr/>
          <w:p>
            <w:pPr>
              <w:pStyle w:val="Compact"/>
              <w:jc w:val="left"/>
            </w:pPr>
            <w:r>
              <w:t xml:space="preserve">€2,430.10</w:t>
            </w:r>
          </w:p>
        </w:tc>
      </w:tr>
      <w:tr>
        <w:tc>
          <w:tcPr/>
          <w:p>
            <w:pPr>
              <w:pStyle w:val="Compact"/>
              <w:jc w:val="left"/>
            </w:pPr>
            <w:r>
              <w:t xml:space="preserve">Total Amount Due</w:t>
            </w:r>
          </w:p>
        </w:tc>
        <w:tc>
          <w:tcPr/>
          <w:p>
            <w:pPr>
              <w:pStyle w:val="Compact"/>
              <w:jc w:val="left"/>
            </w:pPr>
            <w:r>
              <w:t xml:space="preserve">€15,220.10</w:t>
            </w:r>
          </w:p>
        </w:tc>
      </w:tr>
    </w:tbl>
    <w:bookmarkStart w:id="25" w:name="payment-instructions"/>
    <w:p>
      <w:pPr>
        <w:pStyle w:val="Heading3"/>
      </w:pPr>
      <w:r>
        <w:t xml:space="preserve">Payment Instructions</w:t>
      </w:r>
    </w:p>
    <w:p>
      <w:pPr>
        <w:pStyle w:val="FirstParagraph"/>
      </w:pPr>
      <w:r>
        <w:rPr>
          <w:bCs/>
          <w:b/>
        </w:rPr>
        <w:t xml:space="preserve">Bank:</w:t>
      </w:r>
      <w:r>
        <w:t xml:space="preserve"> </w:t>
      </w:r>
      <w:r>
        <w:t xml:space="preserve">Commerzbank AG, Frankfurt am Main</w:t>
      </w:r>
    </w:p>
    <w:p>
      <w:pPr>
        <w:pStyle w:val="BodyText"/>
      </w:pPr>
      <w:r>
        <w:rPr>
          <w:bCs/>
          <w:b/>
        </w:rPr>
        <w:t xml:space="preserve">IBAN:</w:t>
      </w:r>
      <w:r>
        <w:t xml:space="preserve"> </w:t>
      </w:r>
      <w:r>
        <w:t xml:space="preserve">DE89 3704 0044 0532 0130 00</w:t>
      </w:r>
    </w:p>
    <w:p>
      <w:pPr>
        <w:pStyle w:val="BodyText"/>
      </w:pPr>
      <w:r>
        <w:rPr>
          <w:bCs/>
          <w:b/>
        </w:rPr>
        <w:t xml:space="preserve">BIC/SWIFT:</w:t>
      </w:r>
      <w:r>
        <w:t xml:space="preserve"> </w:t>
      </w:r>
      <w:r>
        <w:t xml:space="preserve">COBADEFFXXX</w:t>
      </w:r>
    </w:p>
    <w:p>
      <w:pPr>
        <w:pStyle w:val="BodyText"/>
      </w:pPr>
      <w:r>
        <w:rPr>
          <w:bCs/>
          <w:b/>
        </w:rPr>
        <w:t xml:space="preserve">Reference:</w:t>
      </w:r>
      <w:r>
        <w:t xml:space="preserve"> </w:t>
      </w:r>
      <w:r>
        <w:t xml:space="preserve">INV-2025-00487 / Meridian Handels GmbH</w:t>
      </w:r>
    </w:p>
    <w:bookmarkEnd w:id="25"/>
    <w:bookmarkStart w:id="26" w:name="payment-method"/>
    <w:p>
      <w:pPr>
        <w:pStyle w:val="Heading3"/>
      </w:pPr>
      <w:r>
        <w:t xml:space="preserve">Payment Method</w:t>
      </w:r>
    </w:p>
    <w:p>
      <w:pPr>
        <w:pStyle w:val="FirstParagraph"/>
      </w:pPr>
      <w:r>
        <w:t xml:space="preserve">Bank Transfer (SEPA)</w:t>
      </w:r>
    </w:p>
    <w:p>
      <w:pPr>
        <w:pStyle w:val="BodyText"/>
      </w:pPr>
      <w:r>
        <w:t xml:space="preserve">Due within 14 days of invoice date</w:t>
      </w:r>
    </w:p>
    <w:p>
      <w:pPr>
        <w:pStyle w:val="BodyText"/>
      </w:pPr>
      <w:r>
        <w:t xml:space="preserve">Late payment interest: 8% p.a. above ECB base rate</w:t>
      </w:r>
    </w:p>
    <w:p>
      <w:pPr>
        <w:pStyle w:val="BodyText"/>
      </w:pPr>
      <w:r>
        <w:t xml:space="preserve">Disputes: Contact your assigned accountant within 7 days</w:t>
      </w:r>
    </w:p>
    <w:bookmarkEnd w:id="26"/>
    <w:bookmarkStart w:id="27" w:name="notes-terms-of-service"/>
    <w:p>
      <w:pPr>
        <w:pStyle w:val="Heading3"/>
      </w:pPr>
      <w:r>
        <w:t xml:space="preserve">Notes &amp; Terms of Service</w:t>
      </w:r>
    </w:p>
    <w:p>
      <w:pPr>
        <w:pStyle w:val="FirstParagraph"/>
      </w:pPr>
      <w:r>
        <w:t xml:space="preserve">This invoice is issued by Frankfurt Accountant &amp; Tax Advisory GmbH in accordance with the German Invoice Regulation (Rechnungssteuerverordnung – UStG § 14). All services described herein were rendered by qualified, certified accountants operating under the professional standards of the Institut der Wirtschaftsprüfer (IDW) and the Bundessteuerberaterkammer.</w:t>
      </w:r>
    </w:p>
    <w:p>
      <w:pPr>
        <w:numPr>
          <w:ilvl w:val="0"/>
          <w:numId w:val="1001"/>
        </w:numPr>
        <w:pStyle w:val="Compact"/>
      </w:pPr>
      <w:r>
        <w:t xml:space="preserve">This invoice covers accountant services performed exclusively for the client named above during the stated service period in Frankfurt, Germany.</w:t>
      </w:r>
    </w:p>
    <w:p>
      <w:pPr>
        <w:numPr>
          <w:ilvl w:val="0"/>
          <w:numId w:val="1001"/>
        </w:numPr>
        <w:pStyle w:val="Compact"/>
      </w:pPr>
      <w:r>
        <w:t xml:space="preserve">All rates are exclusive of VAT. The applicable German value-added tax rate of 19% (Mehrwertsteuer) has been applied as per § 12 UStG.</w:t>
      </w:r>
    </w:p>
    <w:p>
      <w:pPr>
        <w:numPr>
          <w:ilvl w:val="0"/>
          <w:numId w:val="1001"/>
        </w:numPr>
        <w:pStyle w:val="Compact"/>
      </w:pPr>
      <w:r>
        <w:t xml:space="preserve">Payment is due within fourteen (14) calendar days from the date of this invoice. In the event of late payment, statutory interest under § 288 BGB shall apply.</w:t>
      </w:r>
    </w:p>
    <w:p>
      <w:pPr>
        <w:numPr>
          <w:ilvl w:val="0"/>
          <w:numId w:val="1001"/>
        </w:numPr>
        <w:pStyle w:val="Compact"/>
      </w:pPr>
      <w:r>
        <w:t xml:space="preserve">Any disputes regarding the scope, quality, or billing of accountant services must be raised in writing to the lead accountant within seven (7) business days of receipt of this invoice.</w:t>
      </w:r>
    </w:p>
    <w:p>
      <w:pPr>
        <w:numPr>
          <w:ilvl w:val="0"/>
          <w:numId w:val="1001"/>
        </w:numPr>
        <w:pStyle w:val="Compact"/>
      </w:pPr>
      <w:r>
        <w:t xml:space="preserve">This invoice constitutes a valid tax document for the purposes of German corporate tax filing and must be retained for the statutory document retention period of eight (8) years per § 147 AO.</w:t>
      </w:r>
    </w:p>
    <w:p>
      <w:pPr>
        <w:numPr>
          <w:ilvl w:val="0"/>
          <w:numId w:val="1001"/>
        </w:numPr>
        <w:pStyle w:val="Compact"/>
      </w:pPr>
      <w:r>
        <w:t xml:space="preserve">Our accountant team in Frankfurt, Germany is available for clarification of any line item on this invoice during regular business hours (Monday to Friday, 08:00–17:00 CET).</w:t>
      </w:r>
    </w:p>
    <w:bookmarkEnd w:id="27"/>
    <w:p>
      <w:pPr>
        <w:pStyle w:val="FirstParagraph"/>
      </w:pPr>
      <w:r>
        <w:rPr>
          <w:bCs/>
          <w:b/>
        </w:rPr>
        <w:t xml:space="preserve">Frankfurt Accountant &amp; Tax Advisory GmbH</w:t>
      </w:r>
      <w:r>
        <w:t xml:space="preserve"> </w:t>
      </w:r>
      <w:r>
        <w:t xml:space="preserve">| Mainzer Landstraße 142, 60329 Frankfurt am Main, Germany</w:t>
      </w:r>
    </w:p>
    <w:p>
      <w:pPr>
        <w:pStyle w:val="BodyText"/>
      </w:pPr>
      <w:r>
        <w:t xml:space="preserve">Managing Director: Dr. Heinrich Bauer | Commercial Register: HRB 98765, Amtsgericht Frankfurt am Main</w:t>
      </w:r>
    </w:p>
    <w:p>
      <w:pPr>
        <w:pStyle w:val="BodyText"/>
      </w:pPr>
      <w:r>
        <w:t xml:space="preserve">USt-IdNr.: DE 318 456 721 | This invoice was generated electronically and is valid without a physical signature per § 14 Abs. 4 UStG.</w:t>
      </w:r>
    </w:p>
    <w:p>
      <w:pPr>
        <w:pStyle w:val="BodyText"/>
      </w:pPr>
      <w:r>
        <w:t xml:space="preserve">Thank you for entrusting your financial matters to our accountant team in Frankfurt, Germany. We look forward to continuing our professional partnership.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Accountant Services - Germany Frankfurt</dc:title>
  <dc:creator/>
  <dc:language>en</dc:language>
  <cp:keywords/>
  <dcterms:created xsi:type="dcterms:W3CDTF">2026-10-10T06:27:38Z</dcterms:created>
  <dcterms:modified xsi:type="dcterms:W3CDTF">2026-10-10T06:27:38Z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