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invoice"/>
    <w:p>
      <w:pPr>
        <w:pStyle w:val="Heading1"/>
      </w:pPr>
      <w:r>
        <w:t xml:space="preserve">INVOICE</w:t>
      </w:r>
    </w:p>
    <w:p>
      <w:pPr>
        <w:pStyle w:val="FirstParagraph"/>
      </w:pPr>
      <w:r>
        <w:t xml:space="preserve">Professional Accounting Services</w:t>
      </w:r>
    </w:p>
    <w:p>
      <w:pPr>
        <w:pStyle w:val="BodyText"/>
      </w:pPr>
      <w:r>
        <w:t xml:space="preserve">Munich, Germany</w:t>
      </w:r>
    </w:p>
    <w:bookmarkEnd w:id="20"/>
    <w:p>
      <w:pPr>
        <w:pStyle w:val="BodyText"/>
      </w:pPr>
      <w:r>
        <w:rPr>
          <w:bCs/>
          <w:b/>
        </w:rPr>
        <w:t xml:space="preserve">Invoice No.:</w:t>
      </w:r>
      <w:r>
        <w:t xml:space="preserve"> </w:t>
      </w:r>
      <w:r>
        <w:t xml:space="preserve">INV-2025-00487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p>
      <w:pPr>
        <w:pStyle w:val="BodyText"/>
      </w:pPr>
      <w:r>
        <w:rPr>
          <w:bCs/>
          <w:b/>
        </w:rPr>
        <w:t xml:space="preserve">Reference:</w:t>
      </w:r>
      <w:r>
        <w:t xml:space="preserve"> </w:t>
      </w:r>
      <w:r>
        <w:t xml:space="preserve">ACCT-MUC-2025-Q2</w:t>
      </w:r>
    </w:p>
    <w:bookmarkStart w:id="21" w:name="accountant-service-provider"/>
    <w:p>
      <w:pPr>
        <w:pStyle w:val="Heading3"/>
      </w:pPr>
      <w:r>
        <w:t xml:space="preserve">Accountant / Service Provider</w:t>
      </w:r>
    </w:p>
    <w:p>
      <w:pPr>
        <w:pStyle w:val="FirstParagraph"/>
      </w:pPr>
      <w:r>
        <w:rPr>
          <w:bCs/>
          <w:b/>
        </w:rPr>
        <w:t xml:space="preserve">Dr. Markus Weber, Steuerberater</w:t>
      </w:r>
    </w:p>
    <w:p>
      <w:pPr>
        <w:pStyle w:val="BodyText"/>
      </w:pPr>
      <w:r>
        <w:t xml:space="preserve">Weber &amp; Partner Accounting GmbH</w:t>
      </w:r>
    </w:p>
    <w:p>
      <w:pPr>
        <w:pStyle w:val="BodyText"/>
      </w:pPr>
      <w:r>
        <w:t xml:space="preserve">Maximilianstraße 42, 3rd Floor</w:t>
      </w:r>
    </w:p>
    <w:p>
      <w:pPr>
        <w:pStyle w:val="BodyText"/>
      </w:pPr>
      <w:r>
        <w:t xml:space="preserve">80539 Munich, Germany</w:t>
      </w:r>
    </w:p>
    <w:p>
      <w:pPr>
        <w:pStyle w:val="BodyText"/>
      </w:pPr>
      <w:r>
        <w:t xml:space="preserve">Phone: +49 89 5550 1234</w:t>
      </w:r>
    </w:p>
    <w:p>
      <w:pPr>
        <w:pStyle w:val="BodyText"/>
      </w:pPr>
      <w:r>
        <w:t xml:space="preserve">Email: invoices@weber-partner-muenchen.de</w:t>
      </w:r>
    </w:p>
    <w:p>
      <w:pPr>
        <w:pStyle w:val="BodyText"/>
      </w:pPr>
      <w:r>
        <w:t xml:space="preserve">VAT ID (USt-IdNr.): DE 312 456 789</w:t>
      </w:r>
    </w:p>
    <w:p>
      <w:pPr>
        <w:pStyle w:val="BodyText"/>
      </w:pPr>
      <w:r>
        <w:t xml:space="preserve">Chamber of Tax Advisors: Steuerberaterkammer München</w:t>
      </w:r>
    </w:p>
    <w:p>
      <w:pPr>
        <w:pStyle w:val="BodyText"/>
      </w:pPr>
      <w:r>
        <w:t xml:space="preserve">Registration: HRB 123456, Amtsgericht München</w:t>
      </w:r>
    </w:p>
    <w:bookmarkEnd w:id="21"/>
    <w:bookmarkStart w:id="22" w:name="client-bill-to"/>
    <w:p>
      <w:pPr>
        <w:pStyle w:val="Heading3"/>
      </w:pPr>
      <w:r>
        <w:t xml:space="preserve">Client / Bill To</w:t>
      </w:r>
    </w:p>
    <w:p>
      <w:pPr>
        <w:pStyle w:val="FirstParagraph"/>
      </w:pPr>
      <w:r>
        <w:rPr>
          <w:bCs/>
          <w:b/>
        </w:rPr>
        <w:t xml:space="preserve">Bavaria Tech Solutions GmbH</w:t>
      </w:r>
    </w:p>
    <w:p>
      <w:pPr>
        <w:pStyle w:val="BodyText"/>
      </w:pPr>
      <w:r>
        <w:t xml:space="preserve">Attn: Frau Sandra Hoffmann, CFO</w:t>
      </w:r>
    </w:p>
    <w:p>
      <w:pPr>
        <w:pStyle w:val="BodyText"/>
      </w:pPr>
      <w:r>
        <w:t xml:space="preserve">Sendlinger Tor 8</w:t>
      </w:r>
    </w:p>
    <w:p>
      <w:pPr>
        <w:pStyle w:val="BodyText"/>
      </w:pPr>
      <w:r>
        <w:t xml:space="preserve">80331 Munich, Germany</w:t>
      </w:r>
    </w:p>
    <w:p>
      <w:pPr>
        <w:pStyle w:val="BodyText"/>
      </w:pPr>
      <w:r>
        <w:t xml:space="preserve">Phone: +49 89 7788 4567</w:t>
      </w:r>
    </w:p>
    <w:p>
      <w:pPr>
        <w:pStyle w:val="BodyText"/>
      </w:pPr>
      <w:r>
        <w:t xml:space="preserve">Email: finance@bavariatex.de</w:t>
      </w:r>
    </w:p>
    <w:p>
      <w:pPr>
        <w:pStyle w:val="BodyText"/>
      </w:pPr>
      <w:r>
        <w:t xml:space="preserve">VAT ID (USt-IdNr.): DE 298 765 432</w:t>
      </w:r>
    </w:p>
    <w:p>
      <w:pPr>
        <w:pStyle w:val="BodyText"/>
      </w:pPr>
      <w:r>
        <w:t xml:space="preserve">Client File No.: BT-2024-0091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Accounting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Monthly bookkeeping and ledger reconciliation for Bavaria Tech Solutions GmbH, including processing of all incoming and outgoing invoices, bank statement matching, and general ledger updates in compliance with German commercial law (HGB) and tax regulations.</w:t>
            </w:r>
          </w:p>
        </w:tc>
        <w:tc>
          <w:tcPr/>
          <w:p>
            <w:pPr>
              <w:pStyle w:val="Compact"/>
              <w:jc w:val="left"/>
            </w:pPr>
            <w:r>
              <w:t xml:space="preserve">Q2 2025</w:t>
            </w:r>
          </w:p>
        </w:tc>
        <w:tc>
          <w:tcPr/>
          <w:p>
            <w:pPr>
              <w:pStyle w:val="Compact"/>
              <w:jc w:val="left"/>
            </w:pPr>
            <w:r>
              <w:t xml:space="preserve">32.0</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02</w:t>
            </w:r>
          </w:p>
        </w:tc>
        <w:tc>
          <w:tcPr/>
          <w:p>
            <w:pPr>
              <w:pStyle w:val="Compact"/>
              <w:jc w:val="left"/>
            </w:pPr>
            <w:r>
              <w:t xml:space="preserve">Preparation and filing of quarterly VAT (Umsatzsteuer) returns with the Finanzamt München, including detailed reconciliation of input tax (Vorsteuer) and output tax (Umsatzsteuer) declarations, and advisory on applicable tax rates under German tax law.</w:t>
            </w:r>
          </w:p>
        </w:tc>
        <w:tc>
          <w:tcPr/>
          <w:p>
            <w:pPr>
              <w:pStyle w:val="Compact"/>
              <w:jc w:val="left"/>
            </w:pPr>
            <w:r>
              <w:t xml:space="preserve">Q2 2025</w:t>
            </w:r>
          </w:p>
        </w:tc>
        <w:tc>
          <w:tcPr/>
          <w:p>
            <w:pPr>
              <w:pStyle w:val="Compact"/>
              <w:jc w:val="left"/>
            </w:pPr>
            <w:r>
              <w:t xml:space="preserve">12.0</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03</w:t>
            </w:r>
          </w:p>
        </w:tc>
        <w:tc>
          <w:tcPr/>
          <w:p>
            <w:pPr>
              <w:pStyle w:val="Compact"/>
              <w:jc w:val="left"/>
            </w:pPr>
            <w:r>
              <w:t xml:space="preserve">Payroll accounting and social security contributions (Sozialversicherungsbeiträge) calculation for 24 employees, including monthly wage tax (Lohnsteuer) filings, health insurance, pension, and unemployment insurance remittances to the relevant German authorities.</w:t>
            </w:r>
          </w:p>
        </w:tc>
        <w:tc>
          <w:tcPr/>
          <w:p>
            <w:pPr>
              <w:pStyle w:val="Compact"/>
              <w:jc w:val="left"/>
            </w:pPr>
            <w:r>
              <w:t xml:space="preserve">Apr–Jun 2025</w:t>
            </w:r>
          </w:p>
        </w:tc>
        <w:tc>
          <w:tcPr/>
          <w:p>
            <w:pPr>
              <w:pStyle w:val="Compact"/>
              <w:jc w:val="left"/>
            </w:pPr>
            <w:r>
              <w:t xml:space="preserve">28.0</w:t>
            </w:r>
          </w:p>
        </w:tc>
        <w:tc>
          <w:tcPr/>
          <w:p>
            <w:pPr>
              <w:pStyle w:val="Compact"/>
              <w:jc w:val="left"/>
            </w:pPr>
            <w:r>
              <w:t xml:space="preserve">105.00</w:t>
            </w:r>
          </w:p>
        </w:tc>
        <w:tc>
          <w:tcPr/>
          <w:p>
            <w:pPr>
              <w:pStyle w:val="Compact"/>
              <w:jc w:val="left"/>
            </w:pPr>
            <w:r>
              <w:t xml:space="preserve">2,940.00</w:t>
            </w:r>
          </w:p>
        </w:tc>
      </w:tr>
      <w:tr>
        <w:tc>
          <w:tcPr/>
          <w:p>
            <w:pPr>
              <w:pStyle w:val="Compact"/>
              <w:jc w:val="left"/>
            </w:pPr>
            <w:r>
              <w:t xml:space="preserve">04</w:t>
            </w:r>
          </w:p>
        </w:tc>
        <w:tc>
          <w:tcPr/>
          <w:p>
            <w:pPr>
              <w:pStyle w:val="Compact"/>
              <w:jc w:val="left"/>
            </w:pPr>
            <w:r>
              <w:t xml:space="preserve">Interim financial reporting and management accounts preparation for the second quarter of 2025, including balance sheet (Bilanz), profit and loss statement (GuV), cash flow analysis, and variance commentary for the executive board of Bavaria Tech Solutions GmbH.</w:t>
            </w:r>
          </w:p>
        </w:tc>
        <w:tc>
          <w:tcPr/>
          <w:p>
            <w:pPr>
              <w:pStyle w:val="Compact"/>
              <w:jc w:val="left"/>
            </w:pPr>
            <w:r>
              <w:t xml:space="preserve">Q2 2025</w:t>
            </w:r>
          </w:p>
        </w:tc>
        <w:tc>
          <w:tcPr/>
          <w:p>
            <w:pPr>
              <w:pStyle w:val="Compact"/>
              <w:jc w:val="left"/>
            </w:pPr>
            <w:r>
              <w:t xml:space="preserve">18.0</w:t>
            </w:r>
          </w:p>
        </w:tc>
        <w:tc>
          <w:tcPr/>
          <w:p>
            <w:pPr>
              <w:pStyle w:val="Compact"/>
              <w:jc w:val="left"/>
            </w:pPr>
            <w:r>
              <w:t xml:space="preserve">120.00</w:t>
            </w:r>
          </w:p>
        </w:tc>
        <w:tc>
          <w:tcPr/>
          <w:p>
            <w:pPr>
              <w:pStyle w:val="Compact"/>
              <w:jc w:val="left"/>
            </w:pPr>
            <w:r>
              <w:t xml:space="preserve">2,160.00</w:t>
            </w:r>
          </w:p>
        </w:tc>
      </w:tr>
      <w:tr>
        <w:tc>
          <w:tcPr/>
          <w:p>
            <w:pPr>
              <w:pStyle w:val="Compact"/>
              <w:jc w:val="left"/>
            </w:pPr>
            <w:r>
              <w:t xml:space="preserve">05</w:t>
            </w:r>
          </w:p>
        </w:tc>
        <w:tc>
          <w:tcPr/>
          <w:p>
            <w:pPr>
              <w:pStyle w:val="Compact"/>
              <w:jc w:val="left"/>
            </w:pPr>
            <w:r>
              <w:t xml:space="preserve">Tax advisory consultation regarding the planned expansion of operations into the Munich metropolitan area, including analysis of municipal trade tax (Gewerbesteuer) implications, corporate income tax (Körperschaftsteuer) planning, and compliance with local regulations in the Free State of Bavaria.</w:t>
            </w:r>
          </w:p>
        </w:tc>
        <w:tc>
          <w:tcPr/>
          <w:p>
            <w:pPr>
              <w:pStyle w:val="Compact"/>
              <w:jc w:val="left"/>
            </w:pPr>
            <w:r>
              <w:t xml:space="preserve">June 2025</w:t>
            </w:r>
          </w:p>
        </w:tc>
        <w:tc>
          <w:tcPr/>
          <w:p>
            <w:pPr>
              <w:pStyle w:val="Compact"/>
              <w:jc w:val="left"/>
            </w:pPr>
            <w:r>
              <w:t xml:space="preserve">6.0</w:t>
            </w:r>
          </w:p>
        </w:tc>
        <w:tc>
          <w:tcPr/>
          <w:p>
            <w:pPr>
              <w:pStyle w:val="Compact"/>
              <w:jc w:val="left"/>
            </w:pPr>
            <w:r>
              <w:t xml:space="preserve">130.00</w:t>
            </w:r>
          </w:p>
        </w:tc>
        <w:tc>
          <w:tcPr/>
          <w:p>
            <w:pPr>
              <w:pStyle w:val="Compact"/>
              <w:jc w:val="left"/>
            </w:pPr>
            <w:r>
              <w:t xml:space="preserve">780.00</w:t>
            </w:r>
          </w:p>
        </w:tc>
      </w:tr>
      <w:tr>
        <w:tc>
          <w:tcPr/>
          <w:p>
            <w:pPr>
              <w:pStyle w:val="Compact"/>
              <w:jc w:val="left"/>
            </w:pPr>
            <w:r>
              <w:t xml:space="preserve">06</w:t>
            </w:r>
          </w:p>
        </w:tc>
        <w:tc>
          <w:tcPr/>
          <w:p>
            <w:pPr>
              <w:pStyle w:val="Compact"/>
              <w:jc w:val="left"/>
            </w:pPr>
            <w:r>
              <w:t xml:space="preserve">Review and audit preparation of accounts payable and accounts receivable sub-ledgers, identification of outstanding balances, and preparation of aging reports to support the annual statutory audit by the independent Wirtschaftsprüfer in Munich.</w:t>
            </w:r>
          </w:p>
        </w:tc>
        <w:tc>
          <w:tcPr/>
          <w:p>
            <w:pPr>
              <w:pStyle w:val="Compact"/>
              <w:jc w:val="left"/>
            </w:pPr>
            <w:r>
              <w:t xml:space="preserve">Q2 2025</w:t>
            </w:r>
          </w:p>
        </w:tc>
        <w:tc>
          <w:tcPr/>
          <w:p>
            <w:pPr>
              <w:pStyle w:val="Compact"/>
              <w:jc w:val="left"/>
            </w:pPr>
            <w:r>
              <w:t xml:space="preserve">10.0</w:t>
            </w:r>
          </w:p>
        </w:tc>
        <w:tc>
          <w:tcPr/>
          <w:p>
            <w:pPr>
              <w:pStyle w:val="Compact"/>
              <w:jc w:val="left"/>
            </w:pPr>
            <w:r>
              <w:t xml:space="preserve">115.00</w:t>
            </w:r>
          </w:p>
        </w:tc>
        <w:tc>
          <w:tcPr/>
          <w:p>
            <w:pPr>
              <w:pStyle w:val="Compact"/>
              <w:jc w:val="left"/>
            </w:pPr>
            <w:r>
              <w:t xml:space="preserve">1,150.00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11,390.00 EUR</w:t>
            </w:r>
          </w:p>
        </w:tc>
      </w:tr>
      <w:tr>
        <w:tc>
          <w:tcPr/>
          <w:p>
            <w:pPr>
              <w:pStyle w:val="Compact"/>
              <w:jc w:val="left"/>
            </w:pPr>
            <w:r>
              <w:t xml:space="preserve">VAT 19% (Mehrwertsteuer)</w:t>
            </w:r>
          </w:p>
        </w:tc>
        <w:tc>
          <w:tcPr/>
          <w:p>
            <w:pPr>
              <w:pStyle w:val="Compact"/>
              <w:jc w:val="left"/>
            </w:pPr>
            <w:r>
              <w:t xml:space="preserve">2,164.10 EUR</w:t>
            </w:r>
          </w:p>
        </w:tc>
      </w:tr>
      <w:tr>
        <w:tc>
          <w:tcPr/>
          <w:p>
            <w:pPr>
              <w:pStyle w:val="Compact"/>
              <w:jc w:val="left"/>
            </w:pPr>
            <w:r>
              <w:t xml:space="preserve">Total Amount Due (Brutto)</w:t>
            </w:r>
          </w:p>
        </w:tc>
        <w:tc>
          <w:tcPr/>
          <w:p>
            <w:pPr>
              <w:pStyle w:val="Compact"/>
              <w:jc w:val="left"/>
            </w:pPr>
            <w:r>
              <w:t xml:space="preserve">13,554.10 EUR</w:t>
            </w:r>
          </w:p>
        </w:tc>
      </w:tr>
    </w:tbl>
    <w:bookmarkStart w:id="23" w:name="payment-instructions-important-notes"/>
    <w:p>
      <w:pPr>
        <w:pStyle w:val="Heading3"/>
      </w:pPr>
      <w:r>
        <w:t xml:space="preserve">Payment Instructions &amp; Important Notes</w:t>
      </w:r>
    </w:p>
    <w:p>
      <w:pPr>
        <w:pStyle w:val="FirstParagraph"/>
      </w:pPr>
      <w:r>
        <w:t xml:space="preserve">This invoice is issued by Weber &amp; Partner Accounting GmbH, a licensed accounting firm registered in Munich, Germany, and governed by the professional standards of the Steuerberaterkammer München. All accounting services rendered under this invoice have been performed in accordance with the German Commercial Code (Handelsgesetzbuch – HGB), the German Tax Code (Abgabenordnung – AO), and the applicable professional guidelines for tax advisors (Steuerberater) in the Federal Republic of Germany.</w:t>
      </w:r>
    </w:p>
    <w:p>
      <w:pPr>
        <w:numPr>
          <w:ilvl w:val="0"/>
          <w:numId w:val="1001"/>
        </w:numPr>
        <w:pStyle w:val="Compact"/>
      </w:pPr>
      <w:r>
        <w:rPr>
          <w:bCs/>
          <w:b/>
        </w:rPr>
        <w:t xml:space="preserve">Payment Method:</w:t>
      </w:r>
      <w:r>
        <w:t xml:space="preserve"> </w:t>
      </w:r>
      <w:r>
        <w:t xml:space="preserve">Bank transfer (SEPA-Überweisung) to the account details provided below. Please reference Invoice No. INV-2025-00487 in the transfer memo.</w:t>
      </w:r>
    </w:p>
    <w:p>
      <w:pPr>
        <w:numPr>
          <w:ilvl w:val="0"/>
          <w:numId w:val="1001"/>
        </w:numPr>
        <w:pStyle w:val="Compact"/>
      </w:pPr>
      <w:r>
        <w:rPr>
          <w:bCs/>
          <w:b/>
        </w:rPr>
        <w:t xml:space="preserve">Due Date:</w:t>
      </w:r>
      <w:r>
        <w:t xml:space="preserve"> </w:t>
      </w:r>
      <w:r>
        <w:t xml:space="preserve">Payment is due within fourteen (14) calendar days from the date of this invoice, i.e., by 30 June 2025. Late payments will incur statutory interest at the rate of 8 percentage points above the European Central Bank base rate, as stipulated under § 288 of the German Civil Code (BGB).</w:t>
      </w:r>
    </w:p>
    <w:p>
      <w:pPr>
        <w:numPr>
          <w:ilvl w:val="0"/>
          <w:numId w:val="1001"/>
        </w:numPr>
        <w:pStyle w:val="Compact"/>
      </w:pPr>
      <w:r>
        <w:rPr>
          <w:bCs/>
          <w:b/>
        </w:rPr>
        <w:t xml:space="preserve">Tax Compliance:</w:t>
      </w:r>
      <w:r>
        <w:t xml:space="preserve"> </w:t>
      </w:r>
      <w:r>
        <w:t xml:space="preserve">The 19% value-added tax (Mehrwertsteuer) applied on this invoice is in accordance with § 12 of the German Value Added Tax Act (Umsatzsteuergesetz – UStG). This invoice is issued in compliance with the German Invoice Regulation (Rechnungsverordnung – UStG § 14).</w:t>
      </w:r>
    </w:p>
    <w:p>
      <w:pPr>
        <w:numPr>
          <w:ilvl w:val="0"/>
          <w:numId w:val="1001"/>
        </w:numPr>
        <w:pStyle w:val="Compact"/>
      </w:pPr>
      <w:r>
        <w:rPr>
          <w:bCs/>
          <w:b/>
        </w:rPr>
        <w:t xml:space="preserve">Dispute Resolution:</w:t>
      </w:r>
      <w:r>
        <w:t xml:space="preserve"> </w:t>
      </w:r>
      <w:r>
        <w:t xml:space="preserve">Any disputes arising from this invoice or the accounting services provided shall be subject to the exclusive jurisdiction of the competent courts in Munich, Germany. The applicable law is the law of the Federal Republic of Germany.</w:t>
      </w:r>
    </w:p>
    <w:p>
      <w:pPr>
        <w:numPr>
          <w:ilvl w:val="0"/>
          <w:numId w:val="1001"/>
        </w:numPr>
        <w:pStyle w:val="Compact"/>
      </w:pPr>
      <w:r>
        <w:rPr>
          <w:bCs/>
          <w:b/>
        </w:rPr>
        <w:t xml:space="preserve">Record Keeping:</w:t>
      </w:r>
      <w:r>
        <w:t xml:space="preserve"> </w:t>
      </w:r>
      <w:r>
        <w:t xml:space="preserve">In accordance with § 146 of the German Tax Code (AO), this invoice and all supporting documentation must be retained for a minimum of ten (10) years by both parties.</w:t>
      </w:r>
    </w:p>
    <w:p>
      <w:pPr>
        <w:numPr>
          <w:ilvl w:val="0"/>
          <w:numId w:val="1001"/>
        </w:numPr>
        <w:pStyle w:val="Compact"/>
      </w:pPr>
      <w:r>
        <w:rPr>
          <w:bCs/>
          <w:b/>
        </w:rPr>
        <w:t xml:space="preserve">Service Confirmation:</w:t>
      </w:r>
      <w:r>
        <w:t xml:space="preserve"> </w:t>
      </w:r>
      <w:r>
        <w:t xml:space="preserve">The accounting services described herein were performed by Dr. Markus Weber and his team of qualified accountants and tax advisors based in Munich, Germany. All work products comply with the professional standards set forth by the Bundessteuerberaterkammer (Federal Chamber of Tax Advisors).</w:t>
      </w:r>
    </w:p>
    <w:p>
      <w:pPr>
        <w:pStyle w:val="FirstParagraph"/>
      </w:pPr>
      <w:r>
        <w:t xml:space="preserve">We thank Bavaria Tech Solutions GmbH for entrusting our accounting firm with their financial management needs in Munich, Germany. Should you have any questions regarding this invoice or the services rendered, please do not hesitate to contact our office at the address or phone number listed above.</w:t>
      </w:r>
    </w:p>
    <w:bookmarkEnd w:id="23"/>
    <w:bookmarkStart w:id="24" w:name="bank-account-details-for-payment-sepa"/>
    <w:p>
      <w:pPr>
        <w:pStyle w:val="Heading4"/>
      </w:pPr>
      <w:r>
        <w:t xml:space="preserve">Bank Account Details for Payment (SEPA)</w:t>
      </w:r>
    </w:p>
    <w:p>
      <w:pPr>
        <w:pStyle w:val="FirstParagraph"/>
      </w:pPr>
      <w:r>
        <w:rPr>
          <w:bCs/>
          <w:b/>
        </w:rPr>
        <w:t xml:space="preserve">Account Holder:</w:t>
      </w:r>
      <w:r>
        <w:t xml:space="preserve"> </w:t>
      </w:r>
      <w:r>
        <w:t xml:space="preserve">Weber &amp; Partner Accounting GmbH</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COBADEFFXXX (Commerzbank AG, Munich)</w:t>
      </w:r>
    </w:p>
    <w:p>
      <w:pPr>
        <w:pStyle w:val="BodyText"/>
      </w:pPr>
      <w:r>
        <w:rPr>
          <w:bCs/>
          <w:b/>
        </w:rPr>
        <w:t xml:space="preserve">Bank:</w:t>
      </w:r>
      <w:r>
        <w:t xml:space="preserve"> </w:t>
      </w:r>
      <w:r>
        <w:t xml:space="preserve">Commerzbank AG, Filiale München</w:t>
      </w:r>
    </w:p>
    <w:p>
      <w:pPr>
        <w:pStyle w:val="BodyText"/>
      </w:pPr>
      <w:r>
        <w:rPr>
          <w:bCs/>
          <w:b/>
        </w:rPr>
        <w:t xml:space="preserve">Reference:</w:t>
      </w:r>
      <w:r>
        <w:t xml:space="preserve"> </w:t>
      </w:r>
      <w:r>
        <w:t xml:space="preserve">INV-2025-00487 / BT-2024-0091</w:t>
      </w:r>
    </w:p>
    <w:bookmarkEnd w:id="24"/>
    <w:p>
      <w:pPr>
        <w:pStyle w:val="BodyText"/>
      </w:pPr>
      <w:r>
        <w:rPr>
          <w:bCs/>
          <w:b/>
        </w:rPr>
        <w:t xml:space="preserve">Weber &amp; Partner Accounting GmbH</w:t>
      </w:r>
      <w:r>
        <w:t xml:space="preserve"> </w:t>
      </w:r>
      <w:r>
        <w:t xml:space="preserve">| Maximilianstraße 42, 80539 Munich, Germany</w:t>
      </w:r>
    </w:p>
    <w:p>
      <w:pPr>
        <w:pStyle w:val="BodyText"/>
      </w:pPr>
      <w:r>
        <w:t xml:space="preserve">Managing Director: Dr. Markus Weber | HRB 123456, Amtsgericht München | VAT ID: DE 312 456 789</w:t>
      </w:r>
    </w:p>
    <w:p>
      <w:pPr>
        <w:pStyle w:val="BodyText"/>
      </w:pPr>
      <w:r>
        <w:t xml:space="preserve">Member of the Steuerberaterkammer München | Professional Liability Insurance: Munich Re, Policy No. MR-2025-88421</w:t>
      </w:r>
    </w:p>
    <w:p>
      <w:pPr>
        <w:pStyle w:val="BodyText"/>
      </w:pPr>
      <w:r>
        <w:t xml:space="preserve">This invoice was generated electronically and is valid without a physical signature in accordance with § 14 Abs. 4 UStG. For questions regarding this invoice, please contact our billing department at billing@weber-partner-muenchen.de.</w:t>
      </w:r>
    </w:p>
    <w:p>
      <w:pPr>
        <w:pStyle w:val="BodyText"/>
      </w:pPr>
      <w:r>
        <w:t xml:space="preserve">This document constitutes a formal invoice (Rechnung) as defined under German tax law. The accountant and accounting firm named herein are licensed to provide tax advisory and accounting services throughout the territory of Germany, with primary operations in Munich, Bavaria. All fees are exclusive of travel expenses unless otherwise stated. This invoice is valid for a period of 30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Munich, Germany</dc:title>
  <dc:creator/>
  <dc:language>en</dc:language>
  <cp:keywords/>
  <dcterms:created xsi:type="dcterms:W3CDTF">2026-10-10T06:10:35Z</dcterms:created>
  <dcterms:modified xsi:type="dcterms:W3CDTF">2026-10-10T06:10:35Z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