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rajesh-kumar-associates"/>
    <w:p>
      <w:pPr>
        <w:pStyle w:val="Heading1"/>
      </w:pPr>
      <w:r>
        <w:t xml:space="preserve">Rajesh Kumar &amp; Associates</w:t>
      </w:r>
    </w:p>
    <w:p>
      <w:pPr>
        <w:pStyle w:val="FirstParagraph"/>
      </w:pPr>
      <w:r>
        <w:rPr>
          <w:bCs/>
          <w:b/>
        </w:rPr>
        <w:t xml:space="preserve">Chartered Accountant Firm</w:t>
      </w:r>
    </w:p>
    <w:p>
      <w:pPr>
        <w:pStyle w:val="BodyText"/>
      </w:pPr>
      <w:r>
        <w:t xml:space="preserve">Office No. 412, 4th Floor, Trade Centre</w:t>
      </w:r>
    </w:p>
    <w:p>
      <w:pPr>
        <w:pStyle w:val="BodyText"/>
      </w:pPr>
      <w:r>
        <w:t xml:space="preserve">Nariman Point, Mumbai – 400021, Maharashtra, India</w:t>
      </w:r>
    </w:p>
    <w:p>
      <w:pPr>
        <w:pStyle w:val="BodyText"/>
      </w:pPr>
      <w:r>
        <w:t xml:space="preserve">Phone: +91-22-2284-5678 | Email: info@rajeshkumarassociates.in</w:t>
      </w:r>
    </w:p>
    <w:p>
      <w:pPr>
        <w:pStyle w:val="BodyText"/>
      </w:pPr>
      <w:r>
        <w:t xml:space="preserve">GSTIN: 27AAFCR1234K1Z5</w:t>
      </w:r>
    </w:p>
    <w:p>
      <w:pPr>
        <w:pStyle w:val="BodyText"/>
      </w:pPr>
      <w:r>
        <w:t xml:space="preserve">ICAI Membership No: 345678</w:t>
      </w:r>
    </w:p>
    <w:bookmarkEnd w:id="20"/>
    <w:bookmarkStart w:id="21" w:name="invoice"/>
    <w:p>
      <w:pPr>
        <w:pStyle w:val="Heading2"/>
      </w:pPr>
      <w:r>
        <w:t xml:space="preserve">INVOICE</w:t>
      </w:r>
    </w:p>
    <w:p>
      <w:pPr>
        <w:pStyle w:val="FirstParagraph"/>
      </w:pPr>
      <w:r>
        <w:t xml:space="preserve">Invoice No: RKA/INV/2025/0047</w:t>
      </w:r>
    </w:p>
    <w:p>
      <w:pPr>
        <w:pStyle w:val="BodyText"/>
      </w:pPr>
      <w:r>
        <w:t xml:space="preserve">Date: 15 June 2025</w:t>
      </w:r>
    </w:p>
    <w:p>
      <w:pPr>
        <w:pStyle w:val="BodyText"/>
      </w:pPr>
      <w:r>
        <w:t xml:space="preserve">Due Date: 30 June 2025</w:t>
      </w:r>
    </w:p>
    <w:bookmarkEnd w:id="21"/>
    <w:bookmarkStart w:id="22" w:name="billed-to-client"/>
    <w:p>
      <w:pPr>
        <w:pStyle w:val="Heading3"/>
      </w:pPr>
      <w:r>
        <w:t xml:space="preserve">Billed To (Client)</w:t>
      </w:r>
    </w:p>
    <w:p>
      <w:pPr>
        <w:pStyle w:val="FirstParagraph"/>
      </w:pPr>
      <w:r>
        <w:rPr>
          <w:bCs/>
          <w:b/>
        </w:rPr>
        <w:t xml:space="preserve">Shree Ganesh Textiles Pvt. Ltd.</w:t>
      </w:r>
    </w:p>
    <w:p>
      <w:pPr>
        <w:pStyle w:val="BodyText"/>
      </w:pPr>
      <w:r>
        <w:t xml:space="preserve">Plot No. 88, MIDC Industrial Area</w:t>
      </w:r>
    </w:p>
    <w:p>
      <w:pPr>
        <w:pStyle w:val="BodyText"/>
      </w:pPr>
      <w:r>
        <w:t xml:space="preserve">Andheri East, Mumbai – 400069, Maharashtra, India</w:t>
      </w:r>
    </w:p>
    <w:p>
      <w:pPr>
        <w:pStyle w:val="BodyText"/>
      </w:pPr>
      <w:r>
        <w:t xml:space="preserve">GSTIN: 27AABCS9876P1Z2</w:t>
      </w:r>
    </w:p>
    <w:p>
      <w:pPr>
        <w:pStyle w:val="BodyText"/>
      </w:pPr>
      <w:r>
        <w:t xml:space="preserve">Contact: Mr. Suresh Patil</w:t>
      </w:r>
    </w:p>
    <w:p>
      <w:pPr>
        <w:pStyle w:val="BodyText"/>
      </w:pPr>
      <w:r>
        <w:t xml:space="preserve">Phone: +91-98200-12345</w:t>
      </w:r>
    </w:p>
    <w:bookmarkEnd w:id="22"/>
    <w:bookmarkStart w:id="23" w:name="invoice-particulars"/>
    <w:p>
      <w:pPr>
        <w:pStyle w:val="Heading3"/>
      </w:pPr>
      <w:r>
        <w:t xml:space="preserve">Invoice Particulars</w:t>
      </w:r>
    </w:p>
    <w:p>
      <w:pPr>
        <w:pStyle w:val="FirstParagraph"/>
      </w:pPr>
      <w:r>
        <w:rPr>
          <w:bCs/>
          <w:b/>
        </w:rPr>
        <w:t xml:space="preserve">Service Period:</w:t>
      </w:r>
      <w:r>
        <w:t xml:space="preserve"> </w:t>
      </w:r>
      <w:r>
        <w:t xml:space="preserve">April 2025 – June 2025 (Q1 FY 2025-26)</w:t>
      </w:r>
    </w:p>
    <w:p>
      <w:pPr>
        <w:pStyle w:val="BodyText"/>
      </w:pPr>
      <w:r>
        <w:rPr>
          <w:bCs/>
          <w:b/>
        </w:rPr>
        <w:t xml:space="preserve">Engagement Type:</w:t>
      </w:r>
      <w:r>
        <w:t xml:space="preserve"> </w:t>
      </w:r>
      <w:r>
        <w:t xml:space="preserve">Monthly Accounting &amp; Tax Advisory</w:t>
      </w:r>
    </w:p>
    <w:p>
      <w:pPr>
        <w:pStyle w:val="BodyText"/>
      </w:pPr>
      <w:r>
        <w:rPr>
          <w:bCs/>
          <w:b/>
        </w:rPr>
        <w:t xml:space="preserve">Reference No:</w:t>
      </w:r>
      <w:r>
        <w:t xml:space="preserve"> </w:t>
      </w:r>
      <w:r>
        <w:t xml:space="preserve">ENG/SGT/2025/012</w:t>
      </w:r>
    </w:p>
    <w:p>
      <w:pPr>
        <w:pStyle w:val="BodyText"/>
      </w:pPr>
      <w:r>
        <w:rPr>
          <w:bCs/>
          <w:b/>
        </w:rPr>
        <w:t xml:space="preserve">Place of Supply:</w:t>
      </w:r>
      <w:r>
        <w:t xml:space="preserve"> </w:t>
      </w:r>
      <w:r>
        <w:t xml:space="preserve">Mumbai, Maharashtra, India</w:t>
      </w:r>
    </w:p>
    <w:p>
      <w:pPr>
        <w:pStyle w:val="BodyText"/>
      </w:pPr>
      <w:r>
        <w:rPr>
          <w:bCs/>
          <w:b/>
        </w:rPr>
        <w:t xml:space="preserve">Mode of Payment:</w:t>
      </w:r>
      <w:r>
        <w:t xml:space="preserve"> </w:t>
      </w:r>
      <w:r>
        <w:t xml:space="preserve">Bank Transfer / NEFT / UPI</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Accountant Services Rendered</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Monthly bookkeeping, journal entries, and ledger maintenance for Shree Ganesh Textiles Pvt. Ltd. at Mumbai premises</w:t>
            </w:r>
          </w:p>
        </w:tc>
        <w:tc>
          <w:tcPr/>
          <w:p>
            <w:pPr>
              <w:pStyle w:val="Compact"/>
              <w:jc w:val="left"/>
            </w:pPr>
            <w:r>
              <w:t xml:space="preserve">998059</w:t>
            </w:r>
          </w:p>
        </w:tc>
        <w:tc>
          <w:tcPr/>
          <w:p>
            <w:pPr>
              <w:pStyle w:val="Compact"/>
              <w:jc w:val="left"/>
            </w:pPr>
            <w:r>
              <w:t xml:space="preserve">3 months</w:t>
            </w:r>
          </w:p>
        </w:tc>
        <w:tc>
          <w:tcPr/>
          <w:p>
            <w:pPr>
              <w:pStyle w:val="Compact"/>
              <w:jc w:val="left"/>
            </w:pPr>
            <w:r>
              <w:t xml:space="preserve">₹ 25,000</w:t>
            </w:r>
          </w:p>
        </w:tc>
        <w:tc>
          <w:tcPr/>
          <w:p>
            <w:pPr>
              <w:pStyle w:val="Compact"/>
              <w:jc w:val="left"/>
            </w:pPr>
            <w:r>
              <w:t xml:space="preserve">₹ 75,000</w:t>
            </w:r>
          </w:p>
        </w:tc>
      </w:tr>
      <w:tr>
        <w:tc>
          <w:tcPr/>
          <w:p>
            <w:pPr>
              <w:pStyle w:val="Compact"/>
              <w:jc w:val="left"/>
            </w:pPr>
            <w:r>
              <w:t xml:space="preserve">2</w:t>
            </w:r>
          </w:p>
        </w:tc>
        <w:tc>
          <w:tcPr/>
          <w:p>
            <w:pPr>
              <w:pStyle w:val="Compact"/>
              <w:jc w:val="left"/>
            </w:pPr>
            <w:r>
              <w:t xml:space="preserve">Preparation and filing of monthly GST returns (GSTR-1, GSTR-3B) and reconciliation of input tax credits</w:t>
            </w:r>
          </w:p>
        </w:tc>
        <w:tc>
          <w:tcPr/>
          <w:p>
            <w:pPr>
              <w:pStyle w:val="Compact"/>
              <w:jc w:val="left"/>
            </w:pPr>
            <w:r>
              <w:t xml:space="preserve">998059</w:t>
            </w:r>
          </w:p>
        </w:tc>
        <w:tc>
          <w:tcPr/>
          <w:p>
            <w:pPr>
              <w:pStyle w:val="Compact"/>
              <w:jc w:val="left"/>
            </w:pPr>
            <w:r>
              <w:t xml:space="preserve">3 months</w:t>
            </w:r>
          </w:p>
        </w:tc>
        <w:tc>
          <w:tcPr/>
          <w:p>
            <w:pPr>
              <w:pStyle w:val="Compact"/>
              <w:jc w:val="left"/>
            </w:pPr>
            <w:r>
              <w:t xml:space="preserve">₹ 8,000</w:t>
            </w:r>
          </w:p>
        </w:tc>
        <w:tc>
          <w:tcPr/>
          <w:p>
            <w:pPr>
              <w:pStyle w:val="Compact"/>
              <w:jc w:val="left"/>
            </w:pPr>
            <w:r>
              <w:t xml:space="preserve">₹ 24,000</w:t>
            </w:r>
          </w:p>
        </w:tc>
      </w:tr>
      <w:tr>
        <w:tc>
          <w:tcPr/>
          <w:p>
            <w:pPr>
              <w:pStyle w:val="Compact"/>
              <w:jc w:val="left"/>
            </w:pPr>
            <w:r>
              <w:t xml:space="preserve">3</w:t>
            </w:r>
          </w:p>
        </w:tc>
        <w:tc>
          <w:tcPr/>
          <w:p>
            <w:pPr>
              <w:pStyle w:val="Compact"/>
              <w:jc w:val="left"/>
            </w:pPr>
            <w:r>
              <w:t xml:space="preserve">Payroll processing, TDS computation, and TDS return filing (Form 24Q) for 45 employees based in Mumbai</w:t>
            </w:r>
          </w:p>
        </w:tc>
        <w:tc>
          <w:tcPr/>
          <w:p>
            <w:pPr>
              <w:pStyle w:val="Compact"/>
              <w:jc w:val="left"/>
            </w:pPr>
            <w:r>
              <w:t xml:space="preserve">998059</w:t>
            </w:r>
          </w:p>
        </w:tc>
        <w:tc>
          <w:tcPr/>
          <w:p>
            <w:pPr>
              <w:pStyle w:val="Compact"/>
              <w:jc w:val="left"/>
            </w:pPr>
            <w:r>
              <w:t xml:space="preserve">3 months</w:t>
            </w:r>
          </w:p>
        </w:tc>
        <w:tc>
          <w:tcPr/>
          <w:p>
            <w:pPr>
              <w:pStyle w:val="Compact"/>
              <w:jc w:val="left"/>
            </w:pPr>
            <w:r>
              <w:t xml:space="preserve">₹ 12,000</w:t>
            </w:r>
          </w:p>
        </w:tc>
        <w:tc>
          <w:tcPr/>
          <w:p>
            <w:pPr>
              <w:pStyle w:val="Compact"/>
              <w:jc w:val="left"/>
            </w:pPr>
            <w:r>
              <w:t xml:space="preserve">₹ 36,000</w:t>
            </w:r>
          </w:p>
        </w:tc>
      </w:tr>
      <w:tr>
        <w:tc>
          <w:tcPr/>
          <w:p>
            <w:pPr>
              <w:pStyle w:val="Compact"/>
              <w:jc w:val="left"/>
            </w:pPr>
            <w:r>
              <w:t xml:space="preserve">4</w:t>
            </w:r>
          </w:p>
        </w:tc>
        <w:tc>
          <w:tcPr/>
          <w:p>
            <w:pPr>
              <w:pStyle w:val="Compact"/>
              <w:jc w:val="left"/>
            </w:pPr>
            <w:r>
              <w:t xml:space="preserve">Preparation of quarterly financial statements, balance sheet, profit &amp; loss account, and cash flow statement</w:t>
            </w:r>
          </w:p>
        </w:tc>
        <w:tc>
          <w:tcPr/>
          <w:p>
            <w:pPr>
              <w:pStyle w:val="Compact"/>
              <w:jc w:val="left"/>
            </w:pPr>
            <w:r>
              <w:t xml:space="preserve">998059</w:t>
            </w:r>
          </w:p>
        </w:tc>
        <w:tc>
          <w:tcPr/>
          <w:p>
            <w:pPr>
              <w:pStyle w:val="Compact"/>
              <w:jc w:val="left"/>
            </w:pPr>
            <w:r>
              <w:t xml:space="preserve">1 quarter</w:t>
            </w:r>
          </w:p>
        </w:tc>
        <w:tc>
          <w:tcPr/>
          <w:p>
            <w:pPr>
              <w:pStyle w:val="Compact"/>
              <w:jc w:val="left"/>
            </w:pPr>
            <w:r>
              <w:t xml:space="preserve">₹ 18,000</w:t>
            </w:r>
          </w:p>
        </w:tc>
        <w:tc>
          <w:tcPr/>
          <w:p>
            <w:pPr>
              <w:pStyle w:val="Compact"/>
              <w:jc w:val="left"/>
            </w:pPr>
            <w:r>
              <w:t xml:space="preserve">₹ 18,000</w:t>
            </w:r>
          </w:p>
        </w:tc>
      </w:tr>
      <w:tr>
        <w:tc>
          <w:tcPr/>
          <w:p>
            <w:pPr>
              <w:pStyle w:val="Compact"/>
              <w:jc w:val="left"/>
            </w:pPr>
            <w:r>
              <w:t xml:space="preserve">5</w:t>
            </w:r>
          </w:p>
        </w:tc>
        <w:tc>
          <w:tcPr/>
          <w:p>
            <w:pPr>
              <w:pStyle w:val="Compact"/>
              <w:jc w:val="left"/>
            </w:pPr>
            <w:r>
              <w:t xml:space="preserve">Tax planning advisory, compliance review under Income Tax Act 1961, and representation before Mumbai Income Tax Department</w:t>
            </w:r>
          </w:p>
        </w:tc>
        <w:tc>
          <w:tcPr/>
          <w:p>
            <w:pPr>
              <w:pStyle w:val="Compact"/>
              <w:jc w:val="left"/>
            </w:pPr>
            <w:r>
              <w:t xml:space="preserve">998059</w:t>
            </w:r>
          </w:p>
        </w:tc>
        <w:tc>
          <w:tcPr/>
          <w:p>
            <w:pPr>
              <w:pStyle w:val="Compact"/>
              <w:jc w:val="left"/>
            </w:pPr>
            <w:r>
              <w:t xml:space="preserve">3 months</w:t>
            </w:r>
          </w:p>
        </w:tc>
        <w:tc>
          <w:tcPr/>
          <w:p>
            <w:pPr>
              <w:pStyle w:val="Compact"/>
              <w:jc w:val="left"/>
            </w:pPr>
            <w:r>
              <w:t xml:space="preserve">₹ 10,000</w:t>
            </w:r>
          </w:p>
        </w:tc>
        <w:tc>
          <w:tcPr/>
          <w:p>
            <w:pPr>
              <w:pStyle w:val="Compact"/>
              <w:jc w:val="left"/>
            </w:pPr>
            <w:r>
              <w:t xml:space="preserve">₹ 30,000</w:t>
            </w:r>
          </w:p>
        </w:tc>
      </w:tr>
      <w:tr>
        <w:tc>
          <w:tcPr/>
          <w:p>
            <w:pPr>
              <w:pStyle w:val="Compact"/>
              <w:jc w:val="left"/>
            </w:pPr>
            <w:r>
              <w:t xml:space="preserve">6</w:t>
            </w:r>
          </w:p>
        </w:tc>
        <w:tc>
          <w:tcPr/>
          <w:p>
            <w:pPr>
              <w:pStyle w:val="Compact"/>
              <w:jc w:val="left"/>
            </w:pPr>
            <w:r>
              <w:t xml:space="preserve">Statutory audit support, maintenance of statutory registers, and MIS reporting to the Board of Directors</w:t>
            </w:r>
          </w:p>
        </w:tc>
        <w:tc>
          <w:tcPr/>
          <w:p>
            <w:pPr>
              <w:pStyle w:val="Compact"/>
              <w:jc w:val="left"/>
            </w:pPr>
            <w:r>
              <w:t xml:space="preserve">998059</w:t>
            </w:r>
          </w:p>
        </w:tc>
        <w:tc>
          <w:tcPr/>
          <w:p>
            <w:pPr>
              <w:pStyle w:val="Compact"/>
              <w:jc w:val="left"/>
            </w:pPr>
            <w:r>
              <w:t xml:space="preserve">3 months</w:t>
            </w:r>
          </w:p>
        </w:tc>
        <w:tc>
          <w:tcPr/>
          <w:p>
            <w:pPr>
              <w:pStyle w:val="Compact"/>
              <w:jc w:val="left"/>
            </w:pPr>
            <w:r>
              <w:t xml:space="preserve">₹ 7,500</w:t>
            </w:r>
          </w:p>
        </w:tc>
        <w:tc>
          <w:tcPr/>
          <w:p>
            <w:pPr>
              <w:pStyle w:val="Compact"/>
              <w:jc w:val="left"/>
            </w:pPr>
            <w:r>
              <w:t xml:space="preserve">₹ 22,500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left"/>
            </w:pPr>
            <w:r>
              <w:t xml:space="preserve">₹ 205,500.00</w:t>
            </w:r>
          </w:p>
        </w:tc>
      </w:tr>
      <w:tr>
        <w:tc>
          <w:tcPr/>
          <w:p>
            <w:pPr>
              <w:pStyle w:val="Compact"/>
              <w:jc w:val="left"/>
            </w:pPr>
            <w:r>
              <w:t xml:space="preserve">GST @ 18% (CGST 9% + SGST 9%)</w:t>
            </w:r>
          </w:p>
        </w:tc>
        <w:tc>
          <w:tcPr/>
          <w:p>
            <w:pPr>
              <w:pStyle w:val="Compact"/>
              <w:jc w:val="left"/>
            </w:pPr>
            <w:r>
              <w:t xml:space="preserve">₹ 36,990.00</w:t>
            </w:r>
          </w:p>
        </w:tc>
      </w:tr>
      <w:tr>
        <w:tc>
          <w:tcPr/>
          <w:p>
            <w:pPr>
              <w:pStyle w:val="Compact"/>
              <w:jc w:val="left"/>
            </w:pPr>
            <w:r>
              <w:t xml:space="preserve">Professional Tax (Maharashtra State)</w:t>
            </w:r>
          </w:p>
        </w:tc>
        <w:tc>
          <w:tcPr/>
          <w:p>
            <w:pPr>
              <w:pStyle w:val="Compact"/>
              <w:jc w:val="left"/>
            </w:pPr>
            <w:r>
              <w:t xml:space="preserve">₹ 0.00</w:t>
            </w:r>
          </w:p>
        </w:tc>
      </w:tr>
      <w:tr>
        <w:tc>
          <w:tcPr/>
          <w:p>
            <w:pPr>
              <w:pStyle w:val="Compact"/>
              <w:jc w:val="left"/>
            </w:pPr>
            <w:r>
              <w:t xml:space="preserve">Round Off</w:t>
            </w:r>
          </w:p>
        </w:tc>
        <w:tc>
          <w:tcPr/>
          <w:p>
            <w:pPr>
              <w:pStyle w:val="Compact"/>
              <w:jc w:val="left"/>
            </w:pPr>
            <w:r>
              <w:t xml:space="preserve">₹ 0.00</w:t>
            </w:r>
          </w:p>
        </w:tc>
      </w:tr>
      <w:tr>
        <w:tc>
          <w:tcPr/>
          <w:p>
            <w:pPr>
              <w:pStyle w:val="Compact"/>
              <w:jc w:val="left"/>
            </w:pPr>
            <w:r>
              <w:t xml:space="preserve">Grand Total (INR)</w:t>
            </w:r>
          </w:p>
        </w:tc>
        <w:tc>
          <w:tcPr/>
          <w:p>
            <w:pPr>
              <w:pStyle w:val="Compact"/>
              <w:jc w:val="left"/>
            </w:pPr>
            <w:r>
              <w:t xml:space="preserve">₹ 242,490.00</w:t>
            </w:r>
          </w:p>
        </w:tc>
      </w:tr>
    </w:tbl>
    <w:p>
      <w:pPr>
        <w:pStyle w:val="BodyText"/>
      </w:pPr>
      <w:r>
        <w:rPr>
          <w:bCs/>
          <w:b/>
        </w:rPr>
        <w:t xml:space="preserve">Amount in Words:</w:t>
      </w:r>
      <w:r>
        <w:t xml:space="preserve"> </w:t>
      </w:r>
      <w:r>
        <w:t xml:space="preserve">Rupees Two Lakh Forty-Two Thousand Four Hundred and Ninety Only (₹ 242,490.00)</w:t>
      </w:r>
    </w:p>
    <w:bookmarkStart w:id="24" w:name="terms-conditions-of-this-invoice"/>
    <w:p>
      <w:pPr>
        <w:pStyle w:val="Heading3"/>
      </w:pPr>
      <w:r>
        <w:t xml:space="preserve">Terms &amp; Conditions of this Invoice</w:t>
      </w:r>
    </w:p>
    <w:p>
      <w:pPr>
        <w:numPr>
          <w:ilvl w:val="0"/>
          <w:numId w:val="1001"/>
        </w:numPr>
        <w:pStyle w:val="Compact"/>
      </w:pPr>
      <w:r>
        <w:t xml:space="preserve">This invoice is issued by Rajesh Kumar &amp; Associates, a registered Chartered Accountant firm operating from Mumbai, Maharashtra, India, in accordance with the provisions of the Income Tax Act, 1961, and the Central Goods and Services Tax (CGST) Act, 2017.</w:t>
      </w:r>
    </w:p>
    <w:p>
      <w:pPr>
        <w:numPr>
          <w:ilvl w:val="0"/>
          <w:numId w:val="1001"/>
        </w:numPr>
        <w:pStyle w:val="Compact"/>
      </w:pPr>
      <w:r>
        <w:t xml:space="preserve">Payment of the above invoice amount is due within fifteen (15) days from the date of issue, i.e., on or before 30 June 2025. Late payments shall attract a penalty of 1.5% per month or part thereof on the outstanding balance.</w:t>
      </w:r>
    </w:p>
    <w:p>
      <w:pPr>
        <w:numPr>
          <w:ilvl w:val="0"/>
          <w:numId w:val="1001"/>
        </w:numPr>
        <w:pStyle w:val="Compact"/>
      </w:pPr>
      <w:r>
        <w:t xml:space="preserve">All accounting services described in this invoice have been performed by a qualified Chartered Accountant and his team at the client's registered office in Andheri East, Mumbai, and at our firm's premises in Nariman Point, Mumbai.</w:t>
      </w:r>
    </w:p>
    <w:p>
      <w:pPr>
        <w:numPr>
          <w:ilvl w:val="0"/>
          <w:numId w:val="1001"/>
        </w:numPr>
        <w:pStyle w:val="Compact"/>
      </w:pPr>
      <w:r>
        <w:t xml:space="preserve">The client shall provide all necessary financial documents, bank statements, purchase and sales invoices, and supporting records in a timely manner to enable the accountant to complete the engagement without delay.</w:t>
      </w:r>
    </w:p>
    <w:p>
      <w:pPr>
        <w:numPr>
          <w:ilvl w:val="0"/>
          <w:numId w:val="1001"/>
        </w:numPr>
        <w:pStyle w:val="Compact"/>
      </w:pPr>
      <w:r>
        <w:t xml:space="preserve">This invoice is valid for a period of thirty (30) days from the date of issue. After the expiry of this period, the accountant reserves the right to revise the charges based on prevailing market rates in Mumbai.</w:t>
      </w:r>
    </w:p>
    <w:p>
      <w:pPr>
        <w:numPr>
          <w:ilvl w:val="0"/>
          <w:numId w:val="1001"/>
        </w:numPr>
        <w:pStyle w:val="Compact"/>
      </w:pPr>
      <w:r>
        <w:t xml:space="preserve">Any disputes arising from this invoice or the services rendered shall be subject to the exclusive jurisdiction of the competent courts in Mumbai, Maharashtra, India.</w:t>
      </w:r>
    </w:p>
    <w:p>
      <w:pPr>
        <w:numPr>
          <w:ilvl w:val="0"/>
          <w:numId w:val="1001"/>
        </w:numPr>
        <w:pStyle w:val="Compact"/>
      </w:pPr>
      <w:r>
        <w:t xml:space="preserve">The accountant shall maintain strict confidentiality of all financial data, trade secrets, and business information of the client as per the professional ethics code of the Institute of Chartered Accountants of India (ICAI).</w:t>
      </w:r>
    </w:p>
    <w:p>
      <w:pPr>
        <w:numPr>
          <w:ilvl w:val="0"/>
          <w:numId w:val="1001"/>
        </w:numPr>
        <w:pStyle w:val="Compact"/>
      </w:pPr>
      <w:r>
        <w:t xml:space="preserve">GST has been charged at the applicable rate of 18% as per the GST Council notification for professional services (SAC 998059) rendered in the state of Maharashtra, India.</w:t>
      </w:r>
    </w:p>
    <w:bookmarkEnd w:id="24"/>
    <w:bookmarkStart w:id="25" w:name="bank-account-details-for-payment"/>
    <w:p>
      <w:pPr>
        <w:pStyle w:val="Heading4"/>
      </w:pPr>
      <w:r>
        <w:t xml:space="preserve">Bank Account Details for Payment</w:t>
      </w:r>
    </w:p>
    <w:p>
      <w:pPr>
        <w:pStyle w:val="FirstParagraph"/>
      </w:pPr>
      <w:r>
        <w:rPr>
          <w:bCs/>
          <w:b/>
        </w:rPr>
        <w:t xml:space="preserve">Account Name:</w:t>
      </w:r>
      <w:r>
        <w:t xml:space="preserve"> </w:t>
      </w:r>
      <w:r>
        <w:t xml:space="preserve">Rajesh Kumar &amp; Associates</w:t>
      </w:r>
    </w:p>
    <w:p>
      <w:pPr>
        <w:pStyle w:val="BodyText"/>
      </w:pPr>
      <w:r>
        <w:rPr>
          <w:bCs/>
          <w:b/>
        </w:rPr>
        <w:t xml:space="preserve">Bank:</w:t>
      </w:r>
      <w:r>
        <w:t xml:space="preserve"> </w:t>
      </w:r>
      <w:r>
        <w:t xml:space="preserve">State Bank of India, Nariman Point Branch</w:t>
      </w:r>
    </w:p>
    <w:p>
      <w:pPr>
        <w:pStyle w:val="BodyText"/>
      </w:pPr>
      <w:r>
        <w:rPr>
          <w:bCs/>
          <w:b/>
        </w:rPr>
        <w:t xml:space="preserve">Account No:</w:t>
      </w:r>
      <w:r>
        <w:t xml:space="preserve"> </w:t>
      </w:r>
      <w:r>
        <w:t xml:space="preserve">30214567890</w:t>
      </w:r>
    </w:p>
    <w:p>
      <w:pPr>
        <w:pStyle w:val="BodyText"/>
      </w:pPr>
      <w:r>
        <w:rPr>
          <w:bCs/>
          <w:b/>
        </w:rPr>
        <w:t xml:space="preserve">IFSC Code:</w:t>
      </w:r>
      <w:r>
        <w:t xml:space="preserve"> </w:t>
      </w:r>
      <w:r>
        <w:t xml:space="preserve">SBIN0001234</w:t>
      </w:r>
    </w:p>
    <w:p>
      <w:pPr>
        <w:pStyle w:val="BodyText"/>
      </w:pPr>
      <w:r>
        <w:rPr>
          <w:bCs/>
          <w:b/>
        </w:rPr>
        <w:t xml:space="preserve">SWIFT Code:</w:t>
      </w:r>
      <w:r>
        <w:t xml:space="preserve"> </w:t>
      </w:r>
      <w:r>
        <w:t xml:space="preserve">SBININBB</w:t>
      </w:r>
    </w:p>
    <w:p>
      <w:pPr>
        <w:pStyle w:val="BodyText"/>
      </w:pPr>
      <w:r>
        <w:rPr>
          <w:bCs/>
          <w:b/>
        </w:rPr>
        <w:t xml:space="preserve">UPI ID:</w:t>
      </w:r>
      <w:r>
        <w:t xml:space="preserve"> </w:t>
      </w:r>
      <w:r>
        <w:t xml:space="preserve">rka.associates@okaxis</w:t>
      </w:r>
    </w:p>
    <w:bookmarkEnd w:id="25"/>
    <w:bookmarkStart w:id="26" w:name="authorized-signatory"/>
    <w:p>
      <w:pPr>
        <w:pStyle w:val="Heading4"/>
      </w:pPr>
      <w:r>
        <w:t xml:space="preserve">Authorized Signatory</w:t>
      </w:r>
    </w:p>
    <w:p>
      <w:pPr>
        <w:pStyle w:val="FirstParagraph"/>
      </w:pPr>
      <w:r>
        <w:rPr>
          <w:bCs/>
          <w:b/>
        </w:rPr>
        <w:t xml:space="preserve">Name:</w:t>
      </w:r>
      <w:r>
        <w:t xml:space="preserve"> </w:t>
      </w:r>
      <w:r>
        <w:t xml:space="preserve">CA Rajesh Kumar</w:t>
      </w:r>
    </w:p>
    <w:p>
      <w:pPr>
        <w:pStyle w:val="BodyText"/>
      </w:pPr>
      <w:r>
        <w:rPr>
          <w:bCs/>
          <w:b/>
        </w:rPr>
        <w:t xml:space="preserve">Designation:</w:t>
      </w:r>
      <w:r>
        <w:t xml:space="preserve"> </w:t>
      </w:r>
      <w:r>
        <w:t xml:space="preserve">Managing Partner</w:t>
      </w:r>
    </w:p>
    <w:p>
      <w:pPr>
        <w:pStyle w:val="BodyText"/>
      </w:pPr>
      <w:r>
        <w:rPr>
          <w:bCs/>
          <w:b/>
        </w:rPr>
        <w:t xml:space="preserve">ICAI Membership No:</w:t>
      </w:r>
      <w:r>
        <w:t xml:space="preserve"> </w:t>
      </w:r>
      <w:r>
        <w:t xml:space="preserve">345678</w:t>
      </w:r>
    </w:p>
    <w:p>
      <w:pPr>
        <w:pStyle w:val="BodyText"/>
      </w:pPr>
      <w:r>
        <w:rPr>
          <w:bCs/>
          <w:b/>
        </w:rPr>
        <w:t xml:space="preserve">PR No:</w:t>
      </w:r>
      <w:r>
        <w:t xml:space="preserve"> </w:t>
      </w:r>
      <w:r>
        <w:t xml:space="preserve">271999/000123</w:t>
      </w:r>
    </w:p>
    <w:p>
      <w:pPr>
        <w:pStyle w:val="BodyText"/>
      </w:pPr>
      <w:r>
        <w:rPr>
          <w:bCs/>
          <w:b/>
        </w:rPr>
        <w:t xml:space="preserve">Place:</w:t>
      </w:r>
      <w:r>
        <w:t xml:space="preserve"> </w:t>
      </w:r>
      <w:r>
        <w:t xml:space="preserve">Mumbai, Maharashtra, India</w:t>
      </w:r>
    </w:p>
    <w:p>
      <w:pPr>
        <w:pStyle w:val="BodyText"/>
      </w:pPr>
      <w:r>
        <w:rPr>
          <w:bCs/>
          <w:b/>
        </w:rPr>
        <w:t xml:space="preserve">Date:</w:t>
      </w:r>
      <w:r>
        <w:t xml:space="preserve"> </w:t>
      </w:r>
      <w:r>
        <w:t xml:space="preserve">15 June 2025</w:t>
      </w:r>
    </w:p>
    <w:bookmarkEnd w:id="26"/>
    <w:p>
      <w:pPr>
        <w:pStyle w:val="BodyText"/>
      </w:pPr>
      <w:r>
        <w:t xml:space="preserve">For Rajesh Kumar &amp; Associates</w:t>
      </w:r>
    </w:p>
    <w:p>
      <w:pPr>
        <w:pStyle w:val="BodyText"/>
      </w:pPr>
      <w:r>
        <w:t xml:space="preserve">Chartered Accountants, Mumbai – India</w:t>
      </w:r>
    </w:p>
    <w:p>
      <w:pPr>
        <w:pStyle w:val="BodyText"/>
      </w:pPr>
      <w:r>
        <w:t xml:space="preserve">[ Firm Seal &amp; Signature ]</w:t>
      </w:r>
    </w:p>
    <w:p>
      <w:pPr>
        <w:pStyle w:val="BodyText"/>
      </w:pPr>
      <w:r>
        <w:t xml:space="preserve">This is a computer-generated invoice issued by a Chartered Accountant firm registered in Mumbai, Maharashtra, India. No physical signature is required for the validity of this invoice. This invoice is issued in compliance with Section 31 of the CGST Act, 2017, and Rule 46 of the CGST Rules, 2017.</w:t>
      </w:r>
    </w:p>
    <w:p>
      <w:pPr>
        <w:pStyle w:val="BodyText"/>
      </w:pPr>
      <w:r>
        <w:t xml:space="preserve">Thank you for choosing our accounting services in Mumbai, India. We look forward to continuing our professional relationship with your esteemed organization.</w:t>
      </w:r>
    </w:p>
    <w:p>
      <w:pPr>
        <w:pStyle w:val="BodyText"/>
      </w:pPr>
      <w:r>
        <w:t xml:space="preserve">© 2025 Rajesh Kumar &amp; Associates, Mumbai, India.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India Mumbai</dc:title>
  <dc:creator/>
  <dc:language>en</dc:language>
  <cp:keywords/>
  <dcterms:created xsi:type="dcterms:W3CDTF">2026-10-10T07:30:54Z</dcterms:created>
  <dcterms:modified xsi:type="dcterms:W3CDTF">2026-10-10T07:30:54Z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