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Professional</w:t>
      </w:r>
      <w:r>
        <w:t xml:space="preserve"> </w:t>
      </w:r>
      <w:r>
        <w:t xml:space="preserve">Accountant</w:t>
      </w:r>
      <w:r>
        <w:t xml:space="preserve"> </w:t>
      </w:r>
      <w:r>
        <w:t xml:space="preserve">Services</w:t>
      </w:r>
      <w:r>
        <w:t xml:space="preserve"> </w:t>
      </w:r>
      <w:r>
        <w:t xml:space="preserve">-</w:t>
      </w:r>
      <w:r>
        <w:t xml:space="preserve"> </w:t>
      </w:r>
      <w:r>
        <w:t xml:space="preserve">Indonesia</w:t>
      </w:r>
      <w:r>
        <w:t xml:space="preserve"> </w:t>
      </w:r>
      <w:r>
        <w:t xml:space="preserve">Jakarta</w:t>
      </w:r>
    </w:p>
    <w:bookmarkStart w:id="20" w:name="pt-nusantara-accounting-solutions"/>
    <w:p>
      <w:pPr>
        <w:pStyle w:val="Heading1"/>
      </w:pPr>
      <w:r>
        <w:t xml:space="preserve">PT Nusantara Accounting Solutions</w:t>
      </w:r>
    </w:p>
    <w:p>
      <w:pPr>
        <w:pStyle w:val="FirstParagraph"/>
      </w:pPr>
      <w:r>
        <w:t xml:space="preserve">Professional Accountant &amp; Financial Advisory Firm</w:t>
      </w:r>
    </w:p>
    <w:p>
      <w:pPr>
        <w:pStyle w:val="BodyText"/>
      </w:pPr>
      <w:r>
        <w:t xml:space="preserve">Jl. Jend. Sudirman Kav. 52-53, Menara Sentral Lt. 18</w:t>
      </w:r>
    </w:p>
    <w:p>
      <w:pPr>
        <w:pStyle w:val="BodyText"/>
      </w:pPr>
      <w:r>
        <w:t xml:space="preserve">Setiabudi, Indonesia Jakarta 12190</w:t>
      </w:r>
    </w:p>
    <w:p>
      <w:pPr>
        <w:pStyle w:val="BodyText"/>
      </w:pPr>
      <w:r>
        <w:t xml:space="preserve">Tel: +62-21-5550-8899 | Email: billing@nusantara-acc.co.id</w:t>
      </w:r>
    </w:p>
    <w:p>
      <w:pPr>
        <w:pStyle w:val="BodyText"/>
      </w:pPr>
      <w:r>
        <w:t xml:space="preserve">NPWP: 01.234.567.8-051.000</w:t>
      </w:r>
    </w:p>
    <w:bookmarkEnd w:id="20"/>
    <w:p>
      <w:pPr>
        <w:pStyle w:val="BodyText"/>
      </w:pPr>
      <w:r>
        <w:t xml:space="preserve">OFFICIAL INVOICE</w:t>
      </w:r>
    </w:p>
    <w:bookmarkStart w:id="21" w:name="invoice"/>
    <w:p>
      <w:pPr>
        <w:pStyle w:val="Heading2"/>
      </w:pPr>
      <w:r>
        <w:t xml:space="preserve">INVOICE</w:t>
      </w:r>
    </w:p>
    <w:p>
      <w:pPr>
        <w:pStyle w:val="FirstParagraph"/>
      </w:pPr>
      <w:r>
        <w:t xml:space="preserve">Invoice No: INV/2025/JKT/04872</w:t>
      </w:r>
    </w:p>
    <w:p>
      <w:pPr>
        <w:pStyle w:val="BodyText"/>
      </w:pPr>
      <w:r>
        <w:t xml:space="preserve">Issue Date: 15 June 2025</w:t>
      </w:r>
    </w:p>
    <w:p>
      <w:pPr>
        <w:pStyle w:val="BodyText"/>
      </w:pPr>
      <w:r>
        <w:t xml:space="preserve">Due Date: 30 June 2025</w:t>
      </w:r>
    </w:p>
    <w:bookmarkEnd w:id="21"/>
    <w:bookmarkStart w:id="22" w:name="billed-to-client"/>
    <w:p>
      <w:pPr>
        <w:pStyle w:val="Heading3"/>
      </w:pPr>
      <w:r>
        <w:t xml:space="preserve">Billed To (Client)</w:t>
      </w:r>
    </w:p>
    <w:p>
      <w:pPr>
        <w:pStyle w:val="FirstParagraph"/>
      </w:pPr>
      <w:r>
        <w:rPr>
          <w:bCs/>
          <w:b/>
        </w:rPr>
        <w:t xml:space="preserve">PT Artha Maju Sejahtera</w:t>
      </w:r>
    </w:p>
    <w:p>
      <w:pPr>
        <w:pStyle w:val="BodyText"/>
      </w:pPr>
      <w:r>
        <w:t xml:space="preserve">Attn: Mr. Budi Santoso, Finance Director</w:t>
      </w:r>
    </w:p>
    <w:p>
      <w:pPr>
        <w:pStyle w:val="BodyText"/>
      </w:pPr>
      <w:r>
        <w:t xml:space="preserve">Jl. Gatot Subroto Kav. 28, SCBD District</w:t>
      </w:r>
    </w:p>
    <w:p>
      <w:pPr>
        <w:pStyle w:val="BodyText"/>
      </w:pPr>
      <w:r>
        <w:t xml:space="preserve">Indonesia Jakarta 12190</w:t>
      </w:r>
    </w:p>
    <w:p>
      <w:pPr>
        <w:pStyle w:val="BodyText"/>
      </w:pPr>
      <w:r>
        <w:t xml:space="preserve">NPWP: 09.876.543.2-051.000</w:t>
      </w:r>
    </w:p>
    <w:bookmarkEnd w:id="22"/>
    <w:bookmarkStart w:id="23" w:name="service-period"/>
    <w:p>
      <w:pPr>
        <w:pStyle w:val="Heading3"/>
      </w:pPr>
      <w:r>
        <w:t xml:space="preserve">Service Period</w:t>
      </w:r>
    </w:p>
    <w:p>
      <w:pPr>
        <w:pStyle w:val="FirstParagraph"/>
      </w:pPr>
      <w:r>
        <w:t xml:space="preserve">1 May 2025 – 31 May 2025</w:t>
      </w:r>
    </w:p>
    <w:p>
      <w:pPr>
        <w:pStyle w:val="BodyText"/>
      </w:pPr>
      <w:r>
        <w:t xml:space="preserve">Accountant Engagement Ref: ENG-2025-0341</w:t>
      </w:r>
    </w:p>
    <w:p>
      <w:pPr>
        <w:pStyle w:val="BodyText"/>
      </w:pPr>
      <w:r>
        <w:t xml:space="preserve">Project: Monthly Bookkeeping &amp; Tax Filing</w:t>
      </w:r>
    </w:p>
    <w:bookmarkEnd w:id="23"/>
    <w:bookmarkStart w:id="24" w:name="payment-method"/>
    <w:p>
      <w:pPr>
        <w:pStyle w:val="Heading3"/>
      </w:pPr>
      <w:r>
        <w:t xml:space="preserve">Payment Method</w:t>
      </w:r>
    </w:p>
    <w:p>
      <w:pPr>
        <w:pStyle w:val="FirstParagraph"/>
      </w:pPr>
      <w:r>
        <w:t xml:space="preserve">Bank Transfer (Wire)</w:t>
      </w:r>
    </w:p>
    <w:p>
      <w:pPr>
        <w:pStyle w:val="BodyText"/>
      </w:pPr>
      <w:r>
        <w:t xml:space="preserve">BCA – A/C 8830012345</w:t>
      </w:r>
    </w:p>
    <w:p>
      <w:pPr>
        <w:pStyle w:val="BodyText"/>
      </w:pPr>
      <w:r>
        <w:t xml:space="preserve">a.n. PT Nusantara Accounting Solutions</w:t>
      </w:r>
    </w:p>
    <w:p>
      <w:pPr>
        <w:pStyle w:val="BodyText"/>
      </w:pPr>
      <w:r>
        <w:t xml:space="preserve">Branch: Indonesia Jakarta Sudirman</w:t>
      </w:r>
    </w:p>
    <w:bookmarkEnd w:id="24"/>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Description of Accountant Services</w:t>
            </w:r>
          </w:p>
        </w:tc>
        <w:tc>
          <w:tcPr/>
          <w:p>
            <w:pPr>
              <w:pStyle w:val="Compact"/>
              <w:jc w:val="left"/>
            </w:pPr>
            <w:r>
              <w:t xml:space="preserve">Rate (IDR)</w:t>
            </w:r>
          </w:p>
        </w:tc>
        <w:tc>
          <w:tcPr/>
          <w:p>
            <w:pPr>
              <w:pStyle w:val="Compact"/>
              <w:jc w:val="left"/>
            </w:pPr>
            <w:r>
              <w:t xml:space="preserve">Hours</w:t>
            </w:r>
          </w:p>
        </w:tc>
        <w:tc>
          <w:tcPr/>
          <w:p>
            <w:pPr>
              <w:pStyle w:val="Compact"/>
              <w:jc w:val="left"/>
            </w:pPr>
            <w:r>
              <w:t xml:space="preserve">Qty</w:t>
            </w:r>
          </w:p>
        </w:tc>
        <w:tc>
          <w:tcPr/>
          <w:p>
            <w:pPr>
              <w:pStyle w:val="Compact"/>
              <w:jc w:val="left"/>
            </w:pPr>
            <w:r>
              <w:t xml:space="preserve">Amount (IDR)</w:t>
            </w:r>
          </w:p>
        </w:tc>
      </w:tr>
      <w:tr>
        <w:tc>
          <w:tcPr/>
          <w:p>
            <w:pPr>
              <w:pStyle w:val="Compact"/>
              <w:jc w:val="left"/>
            </w:pPr>
            <w:r>
              <w:t xml:space="preserve">01</w:t>
            </w:r>
          </w:p>
        </w:tc>
        <w:tc>
          <w:tcPr/>
          <w:p>
            <w:pPr>
              <w:pStyle w:val="Compact"/>
              <w:jc w:val="left"/>
            </w:pPr>
            <w:r>
              <w:t xml:space="preserve">Monthly bookkeeping and general ledger maintenance by senior Accountant</w:t>
            </w:r>
          </w:p>
        </w:tc>
        <w:tc>
          <w:tcPr/>
          <w:p>
            <w:pPr>
              <w:pStyle w:val="Compact"/>
              <w:jc w:val="left"/>
            </w:pPr>
            <w:r>
              <w:t xml:space="preserve">1,250,000</w:t>
            </w:r>
          </w:p>
        </w:tc>
        <w:tc>
          <w:tcPr/>
          <w:p>
            <w:pPr>
              <w:pStyle w:val="Compact"/>
              <w:jc w:val="left"/>
            </w:pPr>
            <w:r>
              <w:t xml:space="preserve">40</w:t>
            </w:r>
          </w:p>
        </w:tc>
        <w:tc>
          <w:tcPr/>
          <w:p>
            <w:pPr>
              <w:pStyle w:val="Compact"/>
              <w:jc w:val="left"/>
            </w:pPr>
            <w:r>
              <w:t xml:space="preserve">1</w:t>
            </w:r>
          </w:p>
        </w:tc>
        <w:tc>
          <w:tcPr/>
          <w:p>
            <w:pPr>
              <w:pStyle w:val="Compact"/>
              <w:jc w:val="left"/>
            </w:pPr>
            <w:r>
              <w:t xml:space="preserve">50,000,000</w:t>
            </w:r>
          </w:p>
        </w:tc>
      </w:tr>
      <w:tr>
        <w:tc>
          <w:tcPr/>
          <w:p>
            <w:pPr>
              <w:pStyle w:val="Compact"/>
              <w:jc w:val="left"/>
            </w:pPr>
            <w:r>
              <w:t xml:space="preserve">02</w:t>
            </w:r>
          </w:p>
        </w:tc>
        <w:tc>
          <w:tcPr/>
          <w:p>
            <w:pPr>
              <w:pStyle w:val="Compact"/>
              <w:jc w:val="left"/>
            </w:pPr>
            <w:r>
              <w:t xml:space="preserve">Preparation and submission of monthly PPN (VAT) tax return to Indonesia Jakarta tax office (KPP)</w:t>
            </w:r>
          </w:p>
        </w:tc>
        <w:tc>
          <w:tcPr/>
          <w:p>
            <w:pPr>
              <w:pStyle w:val="Compact"/>
              <w:jc w:val="left"/>
            </w:pPr>
            <w:r>
              <w:t xml:space="preserve">3,500,000</w:t>
            </w:r>
          </w:p>
        </w:tc>
        <w:tc>
          <w:tcPr/>
          <w:p>
            <w:pPr>
              <w:pStyle w:val="Compact"/>
              <w:jc w:val="left"/>
            </w:pPr>
            <w:r>
              <w:t xml:space="preserve">1</w:t>
            </w:r>
          </w:p>
        </w:tc>
        <w:tc>
          <w:tcPr/>
          <w:p>
            <w:pPr>
              <w:pStyle w:val="Compact"/>
              <w:jc w:val="left"/>
            </w:pPr>
            <w:r>
              <w:t xml:space="preserve">1</w:t>
            </w:r>
          </w:p>
        </w:tc>
        <w:tc>
          <w:tcPr/>
          <w:p>
            <w:pPr>
              <w:pStyle w:val="Compact"/>
              <w:jc w:val="left"/>
            </w:pPr>
            <w:r>
              <w:t xml:space="preserve">3,500,000</w:t>
            </w:r>
          </w:p>
        </w:tc>
      </w:tr>
      <w:tr>
        <w:tc>
          <w:tcPr/>
          <w:p>
            <w:pPr>
              <w:pStyle w:val="Compact"/>
              <w:jc w:val="left"/>
            </w:pPr>
            <w:r>
              <w:t xml:space="preserve">03</w:t>
            </w:r>
          </w:p>
        </w:tc>
        <w:tc>
          <w:tcPr/>
          <w:p>
            <w:pPr>
              <w:pStyle w:val="Compact"/>
              <w:jc w:val="left"/>
            </w:pPr>
            <w:r>
              <w:t xml:space="preserve">Payroll processing and PPh 21 (income tax) calculation for 45 employees</w:t>
            </w:r>
          </w:p>
        </w:tc>
        <w:tc>
          <w:tcPr/>
          <w:p>
            <w:pPr>
              <w:pStyle w:val="Compact"/>
              <w:jc w:val="left"/>
            </w:pPr>
            <w:r>
              <w:t xml:space="preserve">2,800,000</w:t>
            </w:r>
          </w:p>
        </w:tc>
        <w:tc>
          <w:tcPr/>
          <w:p>
            <w:pPr>
              <w:pStyle w:val="Compact"/>
              <w:jc w:val="left"/>
            </w:pPr>
            <w:r>
              <w:t xml:space="preserve">1</w:t>
            </w:r>
          </w:p>
        </w:tc>
        <w:tc>
          <w:tcPr/>
          <w:p>
            <w:pPr>
              <w:pStyle w:val="Compact"/>
              <w:jc w:val="left"/>
            </w:pPr>
            <w:r>
              <w:t xml:space="preserve">1</w:t>
            </w:r>
          </w:p>
        </w:tc>
        <w:tc>
          <w:tcPr/>
          <w:p>
            <w:pPr>
              <w:pStyle w:val="Compact"/>
              <w:jc w:val="left"/>
            </w:pPr>
            <w:r>
              <w:t xml:space="preserve">2,800,000</w:t>
            </w:r>
          </w:p>
        </w:tc>
      </w:tr>
      <w:tr>
        <w:tc>
          <w:tcPr/>
          <w:p>
            <w:pPr>
              <w:pStyle w:val="Compact"/>
              <w:jc w:val="left"/>
            </w:pPr>
            <w:r>
              <w:t xml:space="preserve">04</w:t>
            </w:r>
          </w:p>
        </w:tc>
        <w:tc>
          <w:tcPr/>
          <w:p>
            <w:pPr>
              <w:pStyle w:val="Compact"/>
              <w:jc w:val="left"/>
            </w:pPr>
            <w:r>
              <w:t xml:space="preserve">Accounts payable and accounts receivable reconciliation</w:t>
            </w:r>
          </w:p>
        </w:tc>
        <w:tc>
          <w:tcPr/>
          <w:p>
            <w:pPr>
              <w:pStyle w:val="Compact"/>
              <w:jc w:val="left"/>
            </w:pPr>
            <w:r>
              <w:t xml:space="preserve">950,000</w:t>
            </w:r>
          </w:p>
        </w:tc>
        <w:tc>
          <w:tcPr/>
          <w:p>
            <w:pPr>
              <w:pStyle w:val="Compact"/>
              <w:jc w:val="left"/>
            </w:pPr>
            <w:r>
              <w:t xml:space="preserve">16</w:t>
            </w:r>
          </w:p>
        </w:tc>
        <w:tc>
          <w:tcPr/>
          <w:p>
            <w:pPr>
              <w:pStyle w:val="Compact"/>
              <w:jc w:val="left"/>
            </w:pPr>
            <w:r>
              <w:t xml:space="preserve">1</w:t>
            </w:r>
          </w:p>
        </w:tc>
        <w:tc>
          <w:tcPr/>
          <w:p>
            <w:pPr>
              <w:pStyle w:val="Compact"/>
              <w:jc w:val="left"/>
            </w:pPr>
            <w:r>
              <w:t xml:space="preserve">15,200,000</w:t>
            </w:r>
          </w:p>
        </w:tc>
      </w:tr>
      <w:tr>
        <w:tc>
          <w:tcPr/>
          <w:p>
            <w:pPr>
              <w:pStyle w:val="Compact"/>
              <w:jc w:val="left"/>
            </w:pPr>
            <w:r>
              <w:t xml:space="preserve">05</w:t>
            </w:r>
          </w:p>
        </w:tc>
        <w:tc>
          <w:tcPr/>
          <w:p>
            <w:pPr>
              <w:pStyle w:val="Compact"/>
              <w:jc w:val="left"/>
            </w:pPr>
            <w:r>
              <w:t xml:space="preserve">Monthly management report and financial statement preparation</w:t>
            </w:r>
          </w:p>
        </w:tc>
        <w:tc>
          <w:tcPr/>
          <w:p>
            <w:pPr>
              <w:pStyle w:val="Compact"/>
              <w:jc w:val="left"/>
            </w:pPr>
            <w:r>
              <w:t xml:space="preserve">4,200,000</w:t>
            </w:r>
          </w:p>
        </w:tc>
        <w:tc>
          <w:tcPr/>
          <w:p>
            <w:pPr>
              <w:pStyle w:val="Compact"/>
              <w:jc w:val="left"/>
            </w:pPr>
            <w:r>
              <w:t xml:space="preserve">1</w:t>
            </w:r>
          </w:p>
        </w:tc>
        <w:tc>
          <w:tcPr/>
          <w:p>
            <w:pPr>
              <w:pStyle w:val="Compact"/>
              <w:jc w:val="left"/>
            </w:pPr>
            <w:r>
              <w:t xml:space="preserve">1</w:t>
            </w:r>
          </w:p>
        </w:tc>
        <w:tc>
          <w:tcPr/>
          <w:p>
            <w:pPr>
              <w:pStyle w:val="Compact"/>
              <w:jc w:val="left"/>
            </w:pPr>
            <w:r>
              <w:t xml:space="preserve">4,200,000</w:t>
            </w:r>
          </w:p>
        </w:tc>
      </w:tr>
      <w:tr>
        <w:tc>
          <w:tcPr/>
          <w:p>
            <w:pPr>
              <w:pStyle w:val="Compact"/>
              <w:jc w:val="left"/>
            </w:pPr>
            <w:r>
              <w:t xml:space="preserve">06</w:t>
            </w:r>
          </w:p>
        </w:tc>
        <w:tc>
          <w:tcPr/>
          <w:p>
            <w:pPr>
              <w:pStyle w:val="Compact"/>
              <w:jc w:val="left"/>
            </w:pPr>
            <w:r>
              <w:t xml:space="preserve">Ad-hoc tax advisory consultation with principal Accountant (2 sessions)</w:t>
            </w:r>
          </w:p>
        </w:tc>
        <w:tc>
          <w:tcPr/>
          <w:p>
            <w:pPr>
              <w:pStyle w:val="Compact"/>
              <w:jc w:val="left"/>
            </w:pPr>
            <w:r>
              <w:t xml:space="preserve">1,500,000</w:t>
            </w:r>
          </w:p>
        </w:tc>
        <w:tc>
          <w:tcPr/>
          <w:p>
            <w:pPr>
              <w:pStyle w:val="Compact"/>
              <w:jc w:val="left"/>
            </w:pPr>
            <w:r>
              <w:t xml:space="preserve">2</w:t>
            </w:r>
          </w:p>
        </w:tc>
        <w:tc>
          <w:tcPr/>
          <w:p>
            <w:pPr>
              <w:pStyle w:val="Compact"/>
              <w:jc w:val="left"/>
            </w:pPr>
            <w:r>
              <w:t xml:space="preserve">2</w:t>
            </w:r>
          </w:p>
        </w:tc>
        <w:tc>
          <w:tcPr/>
          <w:p>
            <w:pPr>
              <w:pStyle w:val="Compact"/>
              <w:jc w:val="left"/>
            </w:pPr>
            <w:r>
              <w:t xml:space="preserve">6,000,000</w:t>
            </w:r>
          </w:p>
        </w:tc>
      </w:tr>
      <w:tr>
        <w:tc>
          <w:tcPr/>
          <w:p>
            <w:pPr>
              <w:pStyle w:val="Compact"/>
              <w:jc w:val="left"/>
            </w:pPr>
            <w:r>
              <w:t xml:space="preserve">07</w:t>
            </w:r>
          </w:p>
        </w:tc>
        <w:tc>
          <w:tcPr/>
          <w:p>
            <w:pPr>
              <w:pStyle w:val="Compact"/>
              <w:jc w:val="left"/>
            </w:pPr>
            <w:r>
              <w:t xml:space="preserve">Bank reconciliation and cash flow monitoring for Indonesia Jakarta operations</w:t>
            </w:r>
          </w:p>
        </w:tc>
        <w:tc>
          <w:tcPr/>
          <w:p>
            <w:pPr>
              <w:pStyle w:val="Compact"/>
              <w:jc w:val="left"/>
            </w:pPr>
            <w:r>
              <w:t xml:space="preserve">750,000</w:t>
            </w:r>
          </w:p>
        </w:tc>
        <w:tc>
          <w:tcPr/>
          <w:p>
            <w:pPr>
              <w:pStyle w:val="Compact"/>
              <w:jc w:val="left"/>
            </w:pPr>
            <w:r>
              <w:t xml:space="preserve">12</w:t>
            </w:r>
          </w:p>
        </w:tc>
        <w:tc>
          <w:tcPr/>
          <w:p>
            <w:pPr>
              <w:pStyle w:val="Compact"/>
              <w:jc w:val="left"/>
            </w:pPr>
            <w:r>
              <w:t xml:space="preserve">1</w:t>
            </w:r>
          </w:p>
        </w:tc>
        <w:tc>
          <w:tcPr/>
          <w:p>
            <w:pPr>
              <w:pStyle w:val="Compact"/>
              <w:jc w:val="left"/>
            </w:pPr>
            <w:r>
              <w:t xml:space="preserve">9,000,000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90,700,000</w:t>
            </w:r>
          </w:p>
        </w:tc>
      </w:tr>
      <w:tr>
        <w:tc>
          <w:tcPr/>
          <w:p>
            <w:pPr>
              <w:pStyle w:val="Compact"/>
              <w:jc w:val="left"/>
            </w:pPr>
            <w:r>
              <w:t xml:space="preserve">PPN (VAT) 11%</w:t>
            </w:r>
          </w:p>
        </w:tc>
        <w:tc>
          <w:tcPr/>
          <w:p>
            <w:pPr>
              <w:pStyle w:val="Compact"/>
              <w:jc w:val="left"/>
            </w:pPr>
            <w:r>
              <w:t xml:space="preserve">9,977,000</w:t>
            </w:r>
          </w:p>
        </w:tc>
      </w:tr>
      <w:tr>
        <w:tc>
          <w:tcPr/>
          <w:p>
            <w:pPr>
              <w:pStyle w:val="Compact"/>
              <w:jc w:val="left"/>
            </w:pPr>
            <w:r>
              <w:t xml:space="preserve">PPh 23 (Withholding Tax) 2%</w:t>
            </w:r>
          </w:p>
        </w:tc>
        <w:tc>
          <w:tcPr/>
          <w:p>
            <w:pPr>
              <w:pStyle w:val="Compact"/>
              <w:jc w:val="left"/>
            </w:pPr>
            <w:r>
              <w:t xml:space="preserve">(1,814,000)</w:t>
            </w:r>
          </w:p>
        </w:tc>
      </w:tr>
      <w:tr>
        <w:tc>
          <w:tcPr/>
          <w:p>
            <w:pPr>
              <w:pStyle w:val="Compact"/>
              <w:jc w:val="left"/>
            </w:pPr>
            <w:r>
              <w:t xml:space="preserve">Grand Total Due</w:t>
            </w:r>
          </w:p>
        </w:tc>
        <w:tc>
          <w:tcPr/>
          <w:p>
            <w:pPr>
              <w:pStyle w:val="Compact"/>
              <w:jc w:val="left"/>
            </w:pPr>
            <w:r>
              <w:t xml:space="preserve">98,863,000</w:t>
            </w:r>
          </w:p>
        </w:tc>
      </w:tr>
    </w:tbl>
    <w:bookmarkStart w:id="25" w:name="invoice-notes-payment-instructions"/>
    <w:p>
      <w:pPr>
        <w:pStyle w:val="Heading3"/>
      </w:pPr>
      <w:r>
        <w:t xml:space="preserve">Invoice Notes &amp; Payment Instructions</w:t>
      </w:r>
    </w:p>
    <w:p>
      <w:pPr>
        <w:pStyle w:val="FirstParagraph"/>
      </w:pPr>
      <w:r>
        <w:t xml:space="preserve">This Invoice is issued by PT Nusantara Accounting Solutions, a licensed Accountant firm registered in Indonesia Jakarta, for professional accounting services rendered to PT Artha Maju Sejahtera during the period of May 2025.</w:t>
      </w:r>
    </w:p>
    <w:p>
      <w:pPr>
        <w:pStyle w:val="BodyText"/>
      </w:pPr>
      <w:r>
        <w:t xml:space="preserve">Please remit payment of IDR 98,863,000 (Ninety-Eight Million Eight Hundred Sixty-Three Thousand Rupiah) no later than 30 June 2025 via bank transfer to the account specified above. Kindly reference Invoice number INV/2025/JKT/04872 in your transfer remarks.</w:t>
      </w:r>
    </w:p>
    <w:p>
      <w:pPr>
        <w:pStyle w:val="BodyText"/>
      </w:pPr>
      <w:r>
        <w:t xml:space="preserve">All services were performed in compliance with Indonesian Financial Accounting Standards (SAK) and the regulations of the Indonesian Institute of Accountants (IAI). The Accountant team assigned to this engagement operated from our Indonesia Jakarta office at Menara Sentral, Sudirman.</w:t>
      </w:r>
    </w:p>
    <w:p>
      <w:pPr>
        <w:pStyle w:val="BodyText"/>
      </w:pPr>
      <w:r>
        <w:t xml:space="preserve">Should you have any questions regarding this Invoice or the accountant services detailed herein, please contact our billing department at billing@nusantara-acc.co.id or call +62-21-5550-8899 during business hours (Monday to Friday, 08:00–17:00 WIB, Indonesia Jakarta time).</w:t>
      </w:r>
    </w:p>
    <w:bookmarkEnd w:id="25"/>
    <w:bookmarkStart w:id="26" w:name="terms-and-conditions"/>
    <w:p>
      <w:pPr>
        <w:pStyle w:val="Heading3"/>
      </w:pPr>
      <w:r>
        <w:t xml:space="preserve">Terms and Conditions</w:t>
      </w:r>
    </w:p>
    <w:p>
      <w:pPr>
        <w:pStyle w:val="FirstParagraph"/>
      </w:pPr>
      <w:r>
        <w:t xml:space="preserve">1. This Invoice is valid for payment within 15 (fifteen) calendar days from the issue date. Late payments are subject to a penalty of 2% per month as stipulated in the Service Agreement dated 1 January 2025.</w:t>
      </w:r>
    </w:p>
    <w:p>
      <w:pPr>
        <w:pStyle w:val="BodyText"/>
      </w:pPr>
      <w:r>
        <w:t xml:space="preserve">2. All accountant services described in this Invoice have been completed and delivered to the client's satisfaction as confirmed by the monthly service acceptance report.</w:t>
      </w:r>
    </w:p>
    <w:p>
      <w:pPr>
        <w:pStyle w:val="BodyText"/>
      </w:pPr>
      <w:r>
        <w:t xml:space="preserve">3. PPN (VAT) of 11% is applied in accordance with Indonesian tax law (UU PPN). PPh 23 withholding tax of 2% has been deducted as required for services rendered by a domestic entity in Indonesia Jakarta.</w:t>
      </w:r>
    </w:p>
    <w:p>
      <w:pPr>
        <w:pStyle w:val="BodyText"/>
      </w:pPr>
      <w:r>
        <w:t xml:space="preserve">4. This Invoice constitutes a final billing for the May 2025 service period. Any additional services requested outside the scope of the engagement will be invoiced separately.</w:t>
      </w:r>
    </w:p>
    <w:p>
      <w:pPr>
        <w:pStyle w:val="BodyText"/>
      </w:pPr>
      <w:r>
        <w:t xml:space="preserve">5. Disputes regarding this Invoice must be raised in writing within 7 (seven) business days of receipt. Failure to do so constitutes acceptance of the Invoice terms.</w:t>
      </w:r>
    </w:p>
    <w:p>
      <w:pPr>
        <w:pStyle w:val="BodyText"/>
      </w:pPr>
      <w:r>
        <w:t xml:space="preserve">6. PT Nusantara Accounting Solutions is a registered Accountant firm under the supervision of the Indonesian Institute of Accountants (IAI) and operates in full compliance with all regulations applicable in Indonesia Jakarta.</w:t>
      </w:r>
    </w:p>
    <w:bookmarkEnd w:id="26"/>
    <w:p>
      <w:pPr>
        <w:pStyle w:val="BodyText"/>
      </w:pPr>
      <w:r>
        <w:rPr>
          <w:bCs/>
          <w:b/>
        </w:rPr>
        <w:t xml:space="preserve">PT Nusantara Accounting Solutions</w:t>
      </w:r>
      <w:r>
        <w:t xml:space="preserve"> </w:t>
      </w:r>
      <w:r>
        <w:t xml:space="preserve">— Professional Accountant Services in Indonesia Jakarta</w:t>
      </w:r>
    </w:p>
    <w:p>
      <w:pPr>
        <w:pStyle w:val="BodyText"/>
      </w:pPr>
      <w:r>
        <w:t xml:space="preserve">Jl. Jend. Sudirman Kav. 52-53, Menara Sentral Lt. 18, Setiabudi, Indonesia Jakarta 12190</w:t>
      </w:r>
    </w:p>
    <w:p>
      <w:pPr>
        <w:pStyle w:val="BodyText"/>
      </w:pPr>
      <w:r>
        <w:t xml:space="preserve">This Invoice was generated electronically on 15 June 2025 and is valid without a physical signature in accordance with Indonesian electronic transaction regulations (UU ITE No. 11/2008).</w:t>
      </w:r>
    </w:p>
    <w:p>
      <w:pPr>
        <w:pStyle w:val="BodyText"/>
      </w:pPr>
      <w:r>
        <w:t xml:space="preserve">Thank you for choosing our Accountant services in Indonesia Jakarta. We look forward to continuing our professional relationship.</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Professional Accountant Services - Indonesia Jakarta</dc:title>
  <dc:creator/>
  <dc:language>en</dc:language>
  <cp:keywords/>
  <dcterms:created xsi:type="dcterms:W3CDTF">2026-10-10T07:32:50Z</dcterms:created>
  <dcterms:modified xsi:type="dcterms:W3CDTF">2026-10-10T07:32:50Z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