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osaka-precision-accounting-co.-ltd."/>
    <w:p>
      <w:pPr>
        <w:pStyle w:val="Heading1"/>
      </w:pPr>
      <w:r>
        <w:t xml:space="preserve">Osaka Precision Accounting Co., Ltd.</w:t>
      </w:r>
    </w:p>
    <w:p>
      <w:pPr>
        <w:pStyle w:val="FirstParagraph"/>
      </w:pPr>
      <w:r>
        <w:t xml:space="preserve">Registered Accountant Firm</w:t>
      </w:r>
    </w:p>
    <w:p>
      <w:pPr>
        <w:pStyle w:val="BodyText"/>
      </w:pPr>
      <w:r>
        <w:t xml:space="preserve">2-14-8 Dotonbori, Chuo-ku, Osaka 542-0071, Japan</w:t>
      </w:r>
    </w:p>
    <w:p>
      <w:pPr>
        <w:pStyle w:val="BodyText"/>
      </w:pPr>
      <w:r>
        <w:t xml:space="preserve">Tel: +81-6-6210-4580 | Fax: +81-6-6210-4581</w:t>
      </w:r>
    </w:p>
    <w:p>
      <w:pPr>
        <w:pStyle w:val="BodyText"/>
      </w:pPr>
      <w:r>
        <w:t xml:space="preserve">Email: billing@osaka-precision-acc.jp</w:t>
      </w:r>
    </w:p>
    <w:p>
      <w:pPr>
        <w:pStyle w:val="BodyText"/>
      </w:pPr>
      <w:r>
        <w:t xml:space="preserve">Corporate Number: 2011001234567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OPA-2025-00472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Period:</w:t>
      </w:r>
      <w:r>
        <w:t xml:space="preserve"> </w:t>
      </w:r>
      <w:r>
        <w:t xml:space="preserve">April 1 – June 30, 2025</w:t>
      </w:r>
    </w:p>
    <w:bookmarkEnd w:id="21"/>
    <w:bookmarkStart w:id="22" w:name="billed-to-client"/>
    <w:p>
      <w:pPr>
        <w:pStyle w:val="Heading3"/>
      </w:pPr>
      <w:r>
        <w:t xml:space="preserve">Billed To (Client)</w:t>
      </w:r>
    </w:p>
    <w:p>
      <w:pPr>
        <w:pStyle w:val="FirstParagraph"/>
      </w:pPr>
      <w:r>
        <w:rPr>
          <w:bCs/>
          <w:b/>
        </w:rPr>
        <w:t xml:space="preserve">Kansai Trading Solutions K.K.</w:t>
      </w:r>
    </w:p>
    <w:p>
      <w:pPr>
        <w:pStyle w:val="BodyText"/>
      </w:pPr>
      <w:r>
        <w:t xml:space="preserve">Attn: Mr. Hiroshi Tanaka, CFO</w:t>
      </w:r>
    </w:p>
    <w:p>
      <w:pPr>
        <w:pStyle w:val="BodyText"/>
      </w:pPr>
      <w:r>
        <w:t xml:space="preserve">5-3-21 Umeda, Kita-ku, Osaka 530-0001, Japan</w:t>
      </w:r>
    </w:p>
    <w:p>
      <w:pPr>
        <w:pStyle w:val="BodyText"/>
      </w:pPr>
      <w:r>
        <w:t xml:space="preserve">Corporate Number: 2010009876543</w:t>
      </w:r>
    </w:p>
    <w:p>
      <w:pPr>
        <w:pStyle w:val="BodyText"/>
      </w:pPr>
      <w:r>
        <w:t xml:space="preserve">Tel: +81-6-6371-2200</w:t>
      </w:r>
    </w:p>
    <w:bookmarkEnd w:id="22"/>
    <w:bookmarkStart w:id="23" w:name="prepared-by-accountant"/>
    <w:p>
      <w:pPr>
        <w:pStyle w:val="Heading3"/>
      </w:pPr>
      <w:r>
        <w:t xml:space="preserve">Prepared By (Accountant)</w:t>
      </w:r>
    </w:p>
    <w:p>
      <w:pPr>
        <w:pStyle w:val="FirstParagraph"/>
      </w:pPr>
      <w:r>
        <w:rPr>
          <w:bCs/>
          <w:b/>
        </w:rPr>
        <w:t xml:space="preserve">Mr. Kenji Yamamoto, CPA</w:t>
      </w:r>
    </w:p>
    <w:p>
      <w:pPr>
        <w:pStyle w:val="BodyText"/>
      </w:pPr>
      <w:r>
        <w:t xml:space="preserve">Licensed Accountant, Japan Institute of Certified Public Accountants</w:t>
      </w:r>
    </w:p>
    <w:p>
      <w:pPr>
        <w:pStyle w:val="BodyText"/>
      </w:pPr>
      <w:r>
        <w:t xml:space="preserve">License No. JICPA-2019-08834</w:t>
      </w:r>
    </w:p>
    <w:p>
      <w:pPr>
        <w:pStyle w:val="BodyText"/>
      </w:pPr>
      <w:r>
        <w:t xml:space="preserve">Osaka Precision Accounting Co., Ltd.</w:t>
      </w:r>
    </w:p>
    <w:p>
      <w:pPr>
        <w:pStyle w:val="BodyText"/>
      </w:pPr>
      <w:r>
        <w:t xml:space="preserve">Chuo-ku, Osaka, Japan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Accounting Services</w:t>
            </w:r>
          </w:p>
        </w:tc>
        <w:tc>
          <w:tcPr/>
          <w:p>
            <w:pPr>
              <w:pStyle w:val="Compact"/>
              <w:jc w:val="left"/>
            </w:pPr>
            <w:r>
              <w:t xml:space="preserve">Service Period</w:t>
            </w:r>
          </w:p>
        </w:tc>
        <w:tc>
          <w:tcPr/>
          <w:p>
            <w:pPr>
              <w:pStyle w:val="Compact"/>
              <w:jc w:val="left"/>
            </w:pPr>
            <w:r>
              <w:t xml:space="preserve">Rate (JPY)</w:t>
            </w:r>
          </w:p>
        </w:tc>
        <w:tc>
          <w:tcPr/>
          <w:p>
            <w:pPr>
              <w:pStyle w:val="Compact"/>
              <w:jc w:val="left"/>
            </w:pPr>
            <w:r>
              <w:t xml:space="preserve">Hours</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Monthly financial statement preparation and reconciliation for Kansai Trading Solutions K.K., including balance sheet, income statement, and cash flow statement in compliance with Japanese GAAP and IFRS standards applicable in Japan Osaka.</w:t>
            </w:r>
          </w:p>
        </w:tc>
        <w:tc>
          <w:tcPr/>
          <w:p>
            <w:pPr>
              <w:pStyle w:val="Compact"/>
              <w:jc w:val="left"/>
            </w:pPr>
            <w:r>
              <w:t xml:space="preserve">Apr – Jun 2025</w:t>
            </w:r>
          </w:p>
        </w:tc>
        <w:tc>
          <w:tcPr/>
          <w:p>
            <w:pPr>
              <w:pStyle w:val="Compact"/>
              <w:jc w:val="left"/>
            </w:pPr>
            <w:r>
              <w:t xml:space="preserve">12,000</w:t>
            </w:r>
          </w:p>
        </w:tc>
        <w:tc>
          <w:tcPr/>
          <w:p>
            <w:pPr>
              <w:pStyle w:val="Compact"/>
              <w:jc w:val="left"/>
            </w:pPr>
            <w:r>
              <w:t xml:space="preserve">48</w:t>
            </w:r>
          </w:p>
        </w:tc>
        <w:tc>
          <w:tcPr/>
          <w:p>
            <w:pPr>
              <w:pStyle w:val="Compact"/>
              <w:jc w:val="left"/>
            </w:pPr>
            <w:r>
              <w:t xml:space="preserve">576,000</w:t>
            </w:r>
          </w:p>
        </w:tc>
      </w:tr>
      <w:tr>
        <w:tc>
          <w:tcPr/>
          <w:p>
            <w:pPr>
              <w:pStyle w:val="Compact"/>
              <w:jc w:val="left"/>
            </w:pPr>
            <w:r>
              <w:t xml:space="preserve">2</w:t>
            </w:r>
          </w:p>
        </w:tc>
        <w:tc>
          <w:tcPr/>
          <w:p>
            <w:pPr>
              <w:pStyle w:val="Compact"/>
              <w:jc w:val="left"/>
            </w:pPr>
            <w:r>
              <w:t xml:space="preserve">Quarterly tax filing and consumption tax (10%) return preparation for the Japan Osaka metropolitan region, including local Osaka city tax calculations and submission to the National Tax Agency Osaka Regional Office.</w:t>
            </w:r>
          </w:p>
        </w:tc>
        <w:tc>
          <w:tcPr/>
          <w:p>
            <w:pPr>
              <w:pStyle w:val="Compact"/>
              <w:jc w:val="left"/>
            </w:pPr>
            <w:r>
              <w:t xml:space="preserve">Q2 2025</w:t>
            </w:r>
          </w:p>
        </w:tc>
        <w:tc>
          <w:tcPr/>
          <w:p>
            <w:pPr>
              <w:pStyle w:val="Compact"/>
              <w:jc w:val="left"/>
            </w:pPr>
            <w:r>
              <w:t xml:space="preserve">15,000</w:t>
            </w:r>
          </w:p>
        </w:tc>
        <w:tc>
          <w:tcPr/>
          <w:p>
            <w:pPr>
              <w:pStyle w:val="Compact"/>
              <w:jc w:val="left"/>
            </w:pPr>
            <w:r>
              <w:t xml:space="preserve">32</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Annual corporate tax return preparation and advisory services, including tax planning strategies for cross-border transactions conducted by the client within the Japan Osaka economic zone and surrounding Kansai prefectures.</w:t>
            </w:r>
          </w:p>
        </w:tc>
        <w:tc>
          <w:tcPr/>
          <w:p>
            <w:pPr>
              <w:pStyle w:val="Compact"/>
              <w:jc w:val="left"/>
            </w:pPr>
            <w:r>
              <w:t xml:space="preserve">Apr – Jun 2025</w:t>
            </w:r>
          </w:p>
        </w:tc>
        <w:tc>
          <w:tcPr/>
          <w:p>
            <w:pPr>
              <w:pStyle w:val="Compact"/>
              <w:jc w:val="left"/>
            </w:pPr>
            <w:r>
              <w:t xml:space="preserve">18,000</w:t>
            </w:r>
          </w:p>
        </w:tc>
        <w:tc>
          <w:tcPr/>
          <w:p>
            <w:pPr>
              <w:pStyle w:val="Compact"/>
              <w:jc w:val="left"/>
            </w:pPr>
            <w:r>
              <w:t xml:space="preserve">40</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Payroll accounting and social insurance contribution management for 120 employees registered in the Japan Osaka labor district, including year-end adjustment (nenmatsu chousei) calculations and withholding tax filings.</w:t>
            </w:r>
          </w:p>
        </w:tc>
        <w:tc>
          <w:tcPr/>
          <w:p>
            <w:pPr>
              <w:pStyle w:val="Compact"/>
              <w:jc w:val="left"/>
            </w:pPr>
            <w:r>
              <w:t xml:space="preserve">Apr – Jun 2025</w:t>
            </w:r>
          </w:p>
        </w:tc>
        <w:tc>
          <w:tcPr/>
          <w:p>
            <w:pPr>
              <w:pStyle w:val="Compact"/>
              <w:jc w:val="left"/>
            </w:pPr>
            <w:r>
              <w:t xml:space="preserve">10,000</w:t>
            </w:r>
          </w:p>
        </w:tc>
        <w:tc>
          <w:tcPr/>
          <w:p>
            <w:pPr>
              <w:pStyle w:val="Compact"/>
              <w:jc w:val="left"/>
            </w:pPr>
            <w:r>
              <w:t xml:space="preserve">36</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Internal audit support and compliance review of accounting records to ensure adherence to the Companies Act of Japan and local Osaka municipal business regulations. Includes preparation of audit trail documentation for the Japan Osaka Chamber of Commerce annual review.</w:t>
            </w:r>
          </w:p>
        </w:tc>
        <w:tc>
          <w:tcPr/>
          <w:p>
            <w:pPr>
              <w:pStyle w:val="Compact"/>
              <w:jc w:val="left"/>
            </w:pPr>
            <w:r>
              <w:t xml:space="preserve">May – Jun 2025</w:t>
            </w:r>
          </w:p>
        </w:tc>
        <w:tc>
          <w:tcPr/>
          <w:p>
            <w:pPr>
              <w:pStyle w:val="Compact"/>
              <w:jc w:val="left"/>
            </w:pPr>
            <w:r>
              <w:t xml:space="preserve">14,000</w:t>
            </w:r>
          </w:p>
        </w:tc>
        <w:tc>
          <w:tcPr/>
          <w:p>
            <w:pPr>
              <w:pStyle w:val="Compact"/>
              <w:jc w:val="left"/>
            </w:pPr>
            <w:r>
              <w:t xml:space="preserve">24</w:t>
            </w:r>
          </w:p>
        </w:tc>
        <w:tc>
          <w:tcPr/>
          <w:p>
            <w:pPr>
              <w:pStyle w:val="Compact"/>
              <w:jc w:val="left"/>
            </w:pPr>
            <w:r>
              <w:t xml:space="preserve">336,000</w:t>
            </w:r>
          </w:p>
        </w:tc>
      </w:tr>
      <w:tr>
        <w:tc>
          <w:tcPr/>
          <w:p>
            <w:pPr>
              <w:pStyle w:val="Compact"/>
              <w:jc w:val="left"/>
            </w:pPr>
            <w:r>
              <w:t xml:space="preserve">6</w:t>
            </w:r>
          </w:p>
        </w:tc>
        <w:tc>
          <w:tcPr/>
          <w:p>
            <w:pPr>
              <w:pStyle w:val="Compact"/>
              <w:jc w:val="left"/>
            </w:pPr>
            <w:r>
              <w:t xml:space="preserve">Advisory consultation on foreign currency translation and hedging strategies for the client's import-export operations through the Port of Osaka, including preparation of transfer pricing documentation for the Japan Osaka international trade corridor.</w:t>
            </w:r>
          </w:p>
        </w:tc>
        <w:tc>
          <w:tcPr/>
          <w:p>
            <w:pPr>
              <w:pStyle w:val="Compact"/>
              <w:jc w:val="left"/>
            </w:pPr>
            <w:r>
              <w:t xml:space="preserve">Apr – Jun 2025</w:t>
            </w:r>
          </w:p>
        </w:tc>
        <w:tc>
          <w:tcPr/>
          <w:p>
            <w:pPr>
              <w:pStyle w:val="Compact"/>
              <w:jc w:val="left"/>
            </w:pPr>
            <w:r>
              <w:t xml:space="preserve">20,000</w:t>
            </w:r>
          </w:p>
        </w:tc>
        <w:tc>
          <w:tcPr/>
          <w:p>
            <w:pPr>
              <w:pStyle w:val="Compact"/>
              <w:jc w:val="left"/>
            </w:pPr>
            <w:r>
              <w:t xml:space="preserve">16</w:t>
            </w:r>
          </w:p>
        </w:tc>
        <w:tc>
          <w:tcPr/>
          <w:p>
            <w:pPr>
              <w:pStyle w:val="Compact"/>
              <w:jc w:val="left"/>
            </w:pPr>
            <w:r>
              <w:t xml:space="preserve">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(JPY)</w:t>
            </w:r>
          </w:p>
        </w:tc>
        <w:tc>
          <w:tcPr/>
          <w:p>
            <w:pPr>
              <w:pStyle w:val="Compact"/>
              <w:jc w:val="left"/>
            </w:pPr>
            <w:r>
              <w:t xml:space="preserve">2,792,000</w:t>
            </w:r>
          </w:p>
        </w:tc>
      </w:tr>
      <w:tr>
        <w:tc>
          <w:tcPr/>
          <w:p>
            <w:pPr>
              <w:pStyle w:val="Compact"/>
              <w:jc w:val="left"/>
            </w:pPr>
            <w:r>
              <w:t xml:space="preserve">Consumption Tax (10%)</w:t>
            </w:r>
          </w:p>
        </w:tc>
        <w:tc>
          <w:tcPr/>
          <w:p>
            <w:pPr>
              <w:pStyle w:val="Compact"/>
              <w:jc w:val="left"/>
            </w:pPr>
            <w:r>
              <w:t xml:space="preserve">279,200</w:t>
            </w:r>
          </w:p>
        </w:tc>
      </w:tr>
      <w:tr>
        <w:tc>
          <w:tcPr/>
          <w:p>
            <w:pPr>
              <w:pStyle w:val="Compact"/>
              <w:jc w:val="left"/>
            </w:pPr>
            <w:r>
              <w:t xml:space="preserve">Osaka City Inhabitant Tax Surcharge (1.5%)</w:t>
            </w:r>
          </w:p>
        </w:tc>
        <w:tc>
          <w:tcPr/>
          <w:p>
            <w:pPr>
              <w:pStyle w:val="Compact"/>
              <w:jc w:val="left"/>
            </w:pPr>
            <w:r>
              <w:t xml:space="preserve">41,880</w:t>
            </w:r>
          </w:p>
        </w:tc>
      </w:tr>
      <w:tr>
        <w:tc>
          <w:tcPr/>
          <w:p>
            <w:pPr>
              <w:pStyle w:val="Compact"/>
              <w:jc w:val="left"/>
            </w:pPr>
            <w:r>
              <w:rPr>
                <w:bCs/>
                <w:b/>
              </w:rPr>
              <w:t xml:space="preserve">Grand Total (JPY)</w:t>
            </w:r>
          </w:p>
        </w:tc>
        <w:tc>
          <w:tcPr/>
          <w:p>
            <w:pPr>
              <w:pStyle w:val="Compact"/>
              <w:jc w:val="left"/>
            </w:pPr>
            <w:r>
              <w:rPr>
                <w:bCs/>
                <w:b/>
              </w:rPr>
              <w:t xml:space="preserve">3,113,080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Sumitomo Mitsui Banking Corporation, Osaka Central Branch</w:t>
      </w:r>
    </w:p>
    <w:p>
      <w:pPr>
        <w:pStyle w:val="BodyText"/>
      </w:pPr>
      <w:r>
        <w:rPr>
          <w:bCs/>
          <w:b/>
        </w:rPr>
        <w:t xml:space="preserve">Account Name:</w:t>
      </w:r>
      <w:r>
        <w:t xml:space="preserve"> </w:t>
      </w:r>
      <w:r>
        <w:t xml:space="preserve">Osaka Precision Accounting Co., Ltd.</w:t>
      </w:r>
    </w:p>
    <w:p>
      <w:pPr>
        <w:pStyle w:val="BodyText"/>
      </w:pPr>
      <w:r>
        <w:rPr>
          <w:bCs/>
          <w:b/>
        </w:rPr>
        <w:t xml:space="preserve">Account Number:</w:t>
      </w:r>
      <w:r>
        <w:t xml:space="preserve"> </w:t>
      </w:r>
      <w:r>
        <w:t xml:space="preserve">123-456789 (Ordinary Savings Account)</w:t>
      </w:r>
    </w:p>
    <w:p>
      <w:pPr>
        <w:pStyle w:val="BodyText"/>
      </w:pPr>
      <w:r>
        <w:rPr>
          <w:bCs/>
          <w:b/>
        </w:rPr>
        <w:t xml:space="preserve">SWIFT Code:</w:t>
      </w:r>
      <w:r>
        <w:t xml:space="preserve"> </w:t>
      </w:r>
      <w:r>
        <w:t xml:space="preserve">SMBCJPJT</w:t>
      </w:r>
    </w:p>
    <w:p>
      <w:pPr>
        <w:pStyle w:val="BodyText"/>
      </w:pPr>
      <w:r>
        <w:rPr>
          <w:bCs/>
          <w:b/>
        </w:rPr>
        <w:t xml:space="preserve">Reference:</w:t>
      </w:r>
      <w:r>
        <w:t xml:space="preserve"> </w:t>
      </w:r>
      <w:r>
        <w:t xml:space="preserve">Please cite Invoice No. OPA-2025-00472 in all payment communications.</w:t>
      </w:r>
    </w:p>
    <w:p>
      <w:pPr>
        <w:pStyle w:val="BodyText"/>
      </w:pPr>
      <w:r>
        <w:rPr>
          <w:bCs/>
          <w:b/>
        </w:rPr>
        <w:t xml:space="preserve">Payment Method:</w:t>
      </w:r>
      <w:r>
        <w:t xml:space="preserve"> </w:t>
      </w:r>
      <w:r>
        <w:t xml:space="preserve">Bank transfer (Furi-komi) only. Cheques and cash payments are not accepted for this Invoice.</w:t>
      </w:r>
    </w:p>
    <w:p>
      <w:pPr>
        <w:pStyle w:val="BodyText"/>
      </w:pPr>
      <w:r>
        <w:rPr>
          <w:bCs/>
          <w:b/>
        </w:rPr>
        <w:t xml:space="preserve">Due Date:</w:t>
      </w:r>
      <w:r>
        <w:t xml:space="preserve"> </w:t>
      </w:r>
      <w:r>
        <w:t xml:space="preserve">Payment is due within 30 days from the issue date, i.e., by July 15, 2025. Late payments will incur a penalty interest of 1.5% per month as stipulated under the Late Payment Interest on Transactions between Business Operators Act of Japan.</w:t>
      </w:r>
    </w:p>
    <w:bookmarkEnd w:id="24"/>
    <w:bookmarkStart w:id="25" w:name="important-notes-and-terms"/>
    <w:p>
      <w:pPr>
        <w:pStyle w:val="Heading3"/>
      </w:pPr>
      <w:r>
        <w:t xml:space="preserve">Important Notes and Terms</w:t>
      </w:r>
    </w:p>
    <w:p>
      <w:pPr>
        <w:pStyle w:val="FirstParagraph"/>
      </w:pPr>
      <w:r>
        <w:t xml:space="preserve">This Invoice has been issued by a licensed Accountant operating under the jurisdiction of the Japan Institute of Certified Public Accountants (JICPA) and is valid for use within the Japan Osaka metropolitan area and all of Japan.</w:t>
      </w:r>
    </w:p>
    <w:p>
      <w:pPr>
        <w:numPr>
          <w:ilvl w:val="0"/>
          <w:numId w:val="1001"/>
        </w:numPr>
        <w:pStyle w:val="Compact"/>
      </w:pPr>
      <w:r>
        <w:t xml:space="preserve">All accounting services described in this Invoice were performed in accordance with the Japanese Certified Public Accountants Act (Kaikeishi Hou) and applicable professional standards.</w:t>
      </w:r>
    </w:p>
    <w:p>
      <w:pPr>
        <w:numPr>
          <w:ilvl w:val="0"/>
          <w:numId w:val="1001"/>
        </w:numPr>
        <w:pStyle w:val="Compact"/>
      </w:pPr>
      <w:r>
        <w:t xml:space="preserve">The Accountant, Mr. Kenji Yamamoto, confirms that all financial records and tax filings referenced in this Invoice comply with the regulations of the National Tax Agency, Osaka Regional Tax Office, and the Osaka City Tax Bureau.</w:t>
      </w:r>
    </w:p>
    <w:p>
      <w:pPr>
        <w:numPr>
          <w:ilvl w:val="0"/>
          <w:numId w:val="1001"/>
        </w:numPr>
        <w:pStyle w:val="Compact"/>
      </w:pPr>
      <w:r>
        <w:t xml:space="preserve">Consumption tax of 10% has been applied as mandated by the Japanese Consumption Tax Act. The Osaka City inhabitant tax surcharge of 1.5% is levied on business services rendered within the Japan Osaka municipal boundary.</w:t>
      </w:r>
    </w:p>
    <w:p>
      <w:pPr>
        <w:numPr>
          <w:ilvl w:val="0"/>
          <w:numId w:val="1001"/>
        </w:numPr>
        <w:pStyle w:val="Compact"/>
      </w:pPr>
      <w:r>
        <w:t xml:space="preserve">This Invoice constitutes a legally binding document under Japanese commercial law. The client acknowledges receipt of all accounting deliverables referenced herein.</w:t>
      </w:r>
    </w:p>
    <w:p>
      <w:pPr>
        <w:numPr>
          <w:ilvl w:val="0"/>
          <w:numId w:val="1001"/>
        </w:numPr>
        <w:pStyle w:val="Compact"/>
      </w:pPr>
      <w:r>
        <w:t xml:space="preserve">Any disputes arising from this Invoice shall be resolved under the jurisdiction of the Osaka District Court, Japan Osaka.</w:t>
      </w:r>
    </w:p>
    <w:p>
      <w:pPr>
        <w:numPr>
          <w:ilvl w:val="0"/>
          <w:numId w:val="1001"/>
        </w:numPr>
        <w:pStyle w:val="Compact"/>
      </w:pPr>
      <w:r>
        <w:t xml:space="preserve">Retained documents related to this Invoice shall be preserved for a minimum of seven (7) years in compliance with Japanese tax record-keeping requirements.</w:t>
      </w:r>
    </w:p>
    <w:bookmarkEnd w:id="25"/>
    <w:p>
      <w:pPr>
        <w:pStyle w:val="FirstParagraph"/>
      </w:pPr>
      <w:r>
        <w:t xml:space="preserve">[ Company Seal / Inkan of Osaka Precision Accounting Co., Ltd. ]</w:t>
      </w:r>
    </w:p>
    <w:p>
      <w:pPr>
        <w:pStyle w:val="BodyText"/>
      </w:pPr>
      <w:r>
        <w:t xml:space="preserve">[ Signature of Mr. Kenji Yamamoto, CPA – Licensed Accountant ]</w:t>
      </w:r>
    </w:p>
    <w:p>
      <w:pPr>
        <w:pStyle w:val="BodyText"/>
      </w:pPr>
      <w:r>
        <w:t xml:space="preserve">Date: June 15, 2025 | Location: Chuo-ku, Osaka, Japan</w:t>
      </w:r>
    </w:p>
    <w:p>
      <w:pPr>
        <w:pStyle w:val="BodyText"/>
      </w:pPr>
      <w:r>
        <w:t xml:space="preserve">Osaka Precision Accounting Co., Ltd. | 2-14-8 Dotonbori, Chuo-ku, Osaka 542-0071, Japan</w:t>
      </w:r>
    </w:p>
    <w:p>
      <w:pPr>
        <w:pStyle w:val="BodyText"/>
      </w:pPr>
      <w:r>
        <w:t xml:space="preserve">Registered Accountant Firm | JICPA Member | Osaka Chamber of Commerce Member</w:t>
      </w:r>
    </w:p>
    <w:p>
      <w:pPr>
        <w:pStyle w:val="BodyText"/>
      </w:pPr>
      <w:r>
        <w:t xml:space="preserve">This Invoice was generated electronically and is valid without a physical stamp per the Electronic Books and Records Act of Japan.</w:t>
      </w:r>
    </w:p>
    <w:p>
      <w:pPr>
        <w:pStyle w:val="BodyText"/>
      </w:pPr>
      <w:r>
        <w:t xml:space="preserve">For inquiries regarding this Invoice, please contact our billing department at billing@osaka-precision-acc.jp or +81-6-6210-4580.</w:t>
      </w:r>
    </w:p>
    <w:p>
      <w:pPr>
        <w:pStyle w:val="BodyText"/>
      </w:pPr>
      <w:r>
        <w:t xml:space="preserve">© 2025 Osaka Precision Accounting Co., Ltd. All rights reserved. Invoice OPA-2025-00472.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Japan Osaka</dc:title>
  <dc:creator/>
  <dc:language>en</dc:language>
  <cp:keywords/>
  <dcterms:created xsi:type="dcterms:W3CDTF">2026-10-10T07:31:41Z</dcterms:created>
  <dcterms:modified xsi:type="dcterms:W3CDTF">2026-10-10T07:31:41Z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