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Professional</w:t>
      </w:r>
      <w:r>
        <w:t xml:space="preserve"> </w:t>
      </w:r>
      <w:r>
        <w:t xml:space="preserve">Accountant</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meridian-accounting-advisory-ltd."/>
    <w:p>
      <w:pPr>
        <w:pStyle w:val="Heading1"/>
      </w:pPr>
      <w:r>
        <w:t xml:space="preserve">Meridian Accounting &amp; Advisory Ltd.</w:t>
      </w:r>
    </w:p>
    <w:p>
      <w:pPr>
        <w:pStyle w:val="FirstParagraph"/>
      </w:pPr>
      <w:r>
        <w:t xml:space="preserve">Licensed Accountant Firm | P.O. Box 4521, Nairobi, Kenya</w:t>
      </w:r>
    </w:p>
    <w:p>
      <w:pPr>
        <w:pStyle w:val="BodyText"/>
      </w:pPr>
      <w:r>
        <w:t xml:space="preserve">Waiyaki Way, Upper Hill, Nairobi, Kenya</w:t>
      </w:r>
    </w:p>
    <w:p>
      <w:pPr>
        <w:pStyle w:val="BodyText"/>
      </w:pPr>
      <w:r>
        <w:t xml:space="preserve">Tel: +254 700 123 456 | Email: billing@meridianaccountants.co.ke</w:t>
      </w:r>
    </w:p>
    <w:p>
      <w:pPr>
        <w:pStyle w:val="BodyText"/>
      </w:pPr>
      <w:r>
        <w:t xml:space="preserve">CR No: 12345678 | KRA PIN: P051234567X</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INV-2025-00847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bookmarkEnd w:id="21"/>
    <w:bookmarkStart w:id="22" w:name="bill-to"/>
    <w:p>
      <w:pPr>
        <w:pStyle w:val="Heading3"/>
      </w:pPr>
      <w:r>
        <w:t xml:space="preserve">Bill To</w:t>
      </w:r>
    </w:p>
    <w:p>
      <w:pPr>
        <w:pStyle w:val="FirstParagraph"/>
      </w:pPr>
      <w:r>
        <w:rPr>
          <w:bCs/>
          <w:b/>
        </w:rPr>
        <w:t xml:space="preserve">Savannah Logistics &amp; Trading Ltd.</w:t>
      </w:r>
    </w:p>
    <w:p>
      <w:pPr>
        <w:pStyle w:val="BodyText"/>
      </w:pPr>
      <w:r>
        <w:t xml:space="preserve">Attn: Mr. David Mwangi, Managing Director</w:t>
      </w:r>
    </w:p>
    <w:p>
      <w:pPr>
        <w:pStyle w:val="BodyText"/>
      </w:pPr>
      <w:r>
        <w:t xml:space="preserve">Plot 14, Industrial Area, Ngong Road</w:t>
      </w:r>
    </w:p>
    <w:p>
      <w:pPr>
        <w:pStyle w:val="BodyText"/>
      </w:pPr>
      <w:r>
        <w:t xml:space="preserve">Nairobi, Kenya</w:t>
      </w:r>
    </w:p>
    <w:p>
      <w:pPr>
        <w:pStyle w:val="BodyText"/>
      </w:pPr>
      <w:r>
        <w:t xml:space="preserve">KRA PIN: P098765432Z</w:t>
      </w:r>
    </w:p>
    <w:p>
      <w:pPr>
        <w:pStyle w:val="BodyText"/>
      </w:pPr>
      <w:r>
        <w:t xml:space="preserve">Email: finance@savannahlogistics.co.ke</w:t>
      </w:r>
    </w:p>
    <w:bookmarkEnd w:id="22"/>
    <w:bookmarkStart w:id="23" w:name="prepared-by"/>
    <w:p>
      <w:pPr>
        <w:pStyle w:val="Heading3"/>
      </w:pPr>
      <w:r>
        <w:t xml:space="preserve">Prepared By</w:t>
      </w:r>
    </w:p>
    <w:p>
      <w:pPr>
        <w:pStyle w:val="FirstParagraph"/>
      </w:pPr>
      <w:r>
        <w:rPr>
          <w:bCs/>
          <w:b/>
        </w:rPr>
        <w:t xml:space="preserve">Grace Achieng' Odhiambo, CPA (K)</w:t>
      </w:r>
    </w:p>
    <w:p>
      <w:pPr>
        <w:pStyle w:val="BodyText"/>
      </w:pPr>
      <w:r>
        <w:t xml:space="preserve">Senior Accountant &amp; Lead Auditor</w:t>
      </w:r>
    </w:p>
    <w:p>
      <w:pPr>
        <w:pStyle w:val="BodyText"/>
      </w:pPr>
      <w:r>
        <w:t xml:space="preserve">Meridian Accounting &amp; Advisory Ltd.</w:t>
      </w:r>
    </w:p>
    <w:p>
      <w:pPr>
        <w:pStyle w:val="BodyText"/>
      </w:pPr>
      <w:r>
        <w:t xml:space="preserve">ICPA Registration No: 4521</w:t>
      </w:r>
    </w:p>
    <w:p>
      <w:pPr>
        <w:pStyle w:val="BodyText"/>
      </w:pPr>
      <w:r>
        <w:t xml:space="preserve">Nairobi, Kenya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Accountant Services Rendered</w:t>
            </w:r>
          </w:p>
        </w:tc>
        <w:tc>
          <w:tcPr/>
          <w:p>
            <w:pPr>
              <w:pStyle w:val="Compact"/>
              <w:jc w:val="left"/>
            </w:pPr>
            <w:r>
              <w:t xml:space="preserve">Service Period</w:t>
            </w:r>
          </w:p>
        </w:tc>
        <w:tc>
          <w:tcPr/>
          <w:p>
            <w:pPr>
              <w:pStyle w:val="Compact"/>
              <w:jc w:val="left"/>
            </w:pPr>
            <w:r>
              <w:t xml:space="preserve">Rate (KES)</w:t>
            </w:r>
          </w:p>
        </w:tc>
        <w:tc>
          <w:tcPr/>
          <w:p>
            <w:pPr>
              <w:pStyle w:val="Compact"/>
              <w:jc w:val="left"/>
            </w:pPr>
            <w:r>
              <w:t xml:space="preserve">Qty</w:t>
            </w:r>
          </w:p>
        </w:tc>
        <w:tc>
          <w:tcPr/>
          <w:p>
            <w:pPr>
              <w:pStyle w:val="Compact"/>
              <w:jc w:val="left"/>
            </w:pPr>
            <w:r>
              <w:t xml:space="preserve">Amount (KES)</w:t>
            </w:r>
          </w:p>
        </w:tc>
      </w:tr>
      <w:tr>
        <w:tc>
          <w:tcPr/>
          <w:p>
            <w:pPr>
              <w:pStyle w:val="Compact"/>
              <w:jc w:val="left"/>
            </w:pPr>
            <w:r>
              <w:t xml:space="preserve">01</w:t>
            </w:r>
          </w:p>
        </w:tc>
        <w:tc>
          <w:tcPr/>
          <w:p>
            <w:pPr>
              <w:pStyle w:val="Compact"/>
              <w:jc w:val="left"/>
            </w:pPr>
            <w:r>
              <w:t xml:space="preserve">Monthly bookkeeping and ledger reconciliation for all business accounts, including bank statements, petty cash, and inter-company transactions in Kenya Nairobi operations</w:t>
            </w:r>
          </w:p>
        </w:tc>
        <w:tc>
          <w:tcPr/>
          <w:p>
            <w:pPr>
              <w:pStyle w:val="Compact"/>
              <w:jc w:val="left"/>
            </w:pPr>
            <w:r>
              <w:t xml:space="preserve">May 2025</w:t>
            </w:r>
          </w:p>
        </w:tc>
        <w:tc>
          <w:tcPr/>
          <w:p>
            <w:pPr>
              <w:pStyle w:val="Compact"/>
              <w:jc w:val="left"/>
            </w:pPr>
            <w:r>
              <w:t xml:space="preserve">45,000</w:t>
            </w:r>
          </w:p>
        </w:tc>
        <w:tc>
          <w:tcPr/>
          <w:p>
            <w:pPr>
              <w:pStyle w:val="Compact"/>
              <w:jc w:val="left"/>
            </w:pPr>
            <w:r>
              <w:t xml:space="preserve">1</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Preparation and filing of monthly VAT returns (Form VAT 01) with the Kenya Revenue Authority (KRA) on behalf of the client</w:t>
            </w:r>
          </w:p>
        </w:tc>
        <w:tc>
          <w:tcPr/>
          <w:p>
            <w:pPr>
              <w:pStyle w:val="Compact"/>
              <w:jc w:val="left"/>
            </w:pPr>
            <w:r>
              <w:t xml:space="preserve">May 2025</w:t>
            </w:r>
          </w:p>
        </w:tc>
        <w:tc>
          <w:tcPr/>
          <w:p>
            <w:pPr>
              <w:pStyle w:val="Compact"/>
              <w:jc w:val="left"/>
            </w:pPr>
            <w:r>
              <w:t xml:space="preserve">12,500</w:t>
            </w:r>
          </w:p>
        </w:tc>
        <w:tc>
          <w:tcPr/>
          <w:p>
            <w:pPr>
              <w:pStyle w:val="Compact"/>
              <w:jc w:val="left"/>
            </w:pPr>
            <w:r>
              <w:t xml:space="preserve">1</w:t>
            </w:r>
          </w:p>
        </w:tc>
        <w:tc>
          <w:tcPr/>
          <w:p>
            <w:pPr>
              <w:pStyle w:val="Compact"/>
              <w:jc w:val="left"/>
            </w:pPr>
            <w:r>
              <w:t xml:space="preserve">12,500.00</w:t>
            </w:r>
          </w:p>
        </w:tc>
      </w:tr>
      <w:tr>
        <w:tc>
          <w:tcPr/>
          <w:p>
            <w:pPr>
              <w:pStyle w:val="Compact"/>
              <w:jc w:val="left"/>
            </w:pPr>
            <w:r>
              <w:t xml:space="preserve">03</w:t>
            </w:r>
          </w:p>
        </w:tc>
        <w:tc>
          <w:tcPr/>
          <w:p>
            <w:pPr>
              <w:pStyle w:val="Compact"/>
              <w:jc w:val="left"/>
            </w:pPr>
            <w:r>
              <w:t xml:space="preserve">Payroll processing, PAYE computation, and statutory deductions (NHIF, NSSF, PAYE) for 47 employees based in Kenya Nairobi</w:t>
            </w:r>
          </w:p>
        </w:tc>
        <w:tc>
          <w:tcPr/>
          <w:p>
            <w:pPr>
              <w:pStyle w:val="Compact"/>
              <w:jc w:val="left"/>
            </w:pPr>
            <w:r>
              <w:t xml:space="preserve">May 2025</w:t>
            </w:r>
          </w:p>
        </w:tc>
        <w:tc>
          <w:tcPr/>
          <w:p>
            <w:pPr>
              <w:pStyle w:val="Compact"/>
              <w:jc w:val="left"/>
            </w:pPr>
            <w:r>
              <w:t xml:space="preserve">28,000</w:t>
            </w:r>
          </w:p>
        </w:tc>
        <w:tc>
          <w:tcPr/>
          <w:p>
            <w:pPr>
              <w:pStyle w:val="Compact"/>
              <w:jc w:val="left"/>
            </w:pPr>
            <w:r>
              <w:t xml:space="preserve">1</w:t>
            </w:r>
          </w:p>
        </w:tc>
        <w:tc>
          <w:tcPr/>
          <w:p>
            <w:pPr>
              <w:pStyle w:val="Compact"/>
              <w:jc w:val="left"/>
            </w:pPr>
            <w:r>
              <w:t xml:space="preserve">28,000.00</w:t>
            </w:r>
          </w:p>
        </w:tc>
      </w:tr>
      <w:tr>
        <w:tc>
          <w:tcPr/>
          <w:p>
            <w:pPr>
              <w:pStyle w:val="Compact"/>
              <w:jc w:val="left"/>
            </w:pPr>
            <w:r>
              <w:t xml:space="preserve">04</w:t>
            </w:r>
          </w:p>
        </w:tc>
        <w:tc>
          <w:tcPr/>
          <w:p>
            <w:pPr>
              <w:pStyle w:val="Compact"/>
              <w:jc w:val="left"/>
            </w:pPr>
            <w:r>
              <w:t xml:space="preserve">Preparation of monthly management accounts, profit and loss statement, and balance sheet for internal review by the board of directors</w:t>
            </w:r>
          </w:p>
        </w:tc>
        <w:tc>
          <w:tcPr/>
          <w:p>
            <w:pPr>
              <w:pStyle w:val="Compact"/>
              <w:jc w:val="left"/>
            </w:pPr>
            <w:r>
              <w:t xml:space="preserve">May 2025</w:t>
            </w:r>
          </w:p>
        </w:tc>
        <w:tc>
          <w:tcPr/>
          <w:p>
            <w:pPr>
              <w:pStyle w:val="Compact"/>
              <w:jc w:val="left"/>
            </w:pPr>
            <w:r>
              <w:t xml:space="preserve">35,000</w:t>
            </w:r>
          </w:p>
        </w:tc>
        <w:tc>
          <w:tcPr/>
          <w:p>
            <w:pPr>
              <w:pStyle w:val="Compact"/>
              <w:jc w:val="left"/>
            </w:pPr>
            <w:r>
              <w:t xml:space="preserve">1</w:t>
            </w:r>
          </w:p>
        </w:tc>
        <w:tc>
          <w:tcPr/>
          <w:p>
            <w:pPr>
              <w:pStyle w:val="Compact"/>
              <w:jc w:val="left"/>
            </w:pPr>
            <w:r>
              <w:t xml:space="preserve">35,000.00</w:t>
            </w:r>
          </w:p>
        </w:tc>
      </w:tr>
      <w:tr>
        <w:tc>
          <w:tcPr/>
          <w:p>
            <w:pPr>
              <w:pStyle w:val="Compact"/>
              <w:jc w:val="left"/>
            </w:pPr>
            <w:r>
              <w:t xml:space="preserve">05</w:t>
            </w:r>
          </w:p>
        </w:tc>
        <w:tc>
          <w:tcPr/>
          <w:p>
            <w:pPr>
              <w:pStyle w:val="Compact"/>
              <w:jc w:val="left"/>
            </w:pPr>
            <w:r>
              <w:t xml:space="preserve">Tax advisory and compliance review including corporate income tax estimation, transfer pricing documentation, and KRA audit preparation</w:t>
            </w:r>
          </w:p>
        </w:tc>
        <w:tc>
          <w:tcPr/>
          <w:p>
            <w:pPr>
              <w:pStyle w:val="Compact"/>
              <w:jc w:val="left"/>
            </w:pPr>
            <w:r>
              <w:t xml:space="preserve">May 2025</w:t>
            </w:r>
          </w:p>
        </w:tc>
        <w:tc>
          <w:tcPr/>
          <w:p>
            <w:pPr>
              <w:pStyle w:val="Compact"/>
              <w:jc w:val="left"/>
            </w:pPr>
            <w:r>
              <w:t xml:space="preserve">50,000</w:t>
            </w:r>
          </w:p>
        </w:tc>
        <w:tc>
          <w:tcPr/>
          <w:p>
            <w:pPr>
              <w:pStyle w:val="Compact"/>
              <w:jc w:val="left"/>
            </w:pPr>
            <w:r>
              <w:t xml:space="preserve">1</w:t>
            </w:r>
          </w:p>
        </w:tc>
        <w:tc>
          <w:tcPr/>
          <w:p>
            <w:pPr>
              <w:pStyle w:val="Compact"/>
              <w:jc w:val="left"/>
            </w:pPr>
            <w:r>
              <w:t xml:space="preserve">50,000.00</w:t>
            </w:r>
          </w:p>
        </w:tc>
      </w:tr>
      <w:tr>
        <w:tc>
          <w:tcPr/>
          <w:p>
            <w:pPr>
              <w:pStyle w:val="Compact"/>
              <w:jc w:val="left"/>
            </w:pPr>
            <w:r>
              <w:t xml:space="preserve">06</w:t>
            </w:r>
          </w:p>
        </w:tc>
        <w:tc>
          <w:tcPr/>
          <w:p>
            <w:pPr>
              <w:pStyle w:val="Compact"/>
              <w:jc w:val="left"/>
            </w:pPr>
            <w:r>
              <w:t xml:space="preserve">Accounts payable and receivable management, supplier reconciliation, and debt collection follow-up for Kenya Nairobi branch operations</w:t>
            </w:r>
          </w:p>
        </w:tc>
        <w:tc>
          <w:tcPr/>
          <w:p>
            <w:pPr>
              <w:pStyle w:val="Compact"/>
              <w:jc w:val="left"/>
            </w:pPr>
            <w:r>
              <w:t xml:space="preserve">May 2025</w:t>
            </w:r>
          </w:p>
        </w:tc>
        <w:tc>
          <w:tcPr/>
          <w:p>
            <w:pPr>
              <w:pStyle w:val="Compact"/>
              <w:jc w:val="left"/>
            </w:pPr>
            <w:r>
              <w:t xml:space="preserve">22,000</w:t>
            </w:r>
          </w:p>
        </w:tc>
        <w:tc>
          <w:tcPr/>
          <w:p>
            <w:pPr>
              <w:pStyle w:val="Compact"/>
              <w:jc w:val="left"/>
            </w:pPr>
            <w:r>
              <w:t xml:space="preserve">1</w:t>
            </w:r>
          </w:p>
        </w:tc>
        <w:tc>
          <w:tcPr/>
          <w:p>
            <w:pPr>
              <w:pStyle w:val="Compact"/>
              <w:jc w:val="left"/>
            </w:pPr>
            <w:r>
              <w:t xml:space="preserve">22,000.00</w:t>
            </w:r>
          </w:p>
        </w:tc>
      </w:tr>
      <w:tr>
        <w:tc>
          <w:tcPr/>
          <w:p>
            <w:pPr>
              <w:pStyle w:val="Compact"/>
              <w:jc w:val="left"/>
            </w:pPr>
            <w:r>
              <w:t xml:space="preserve">07</w:t>
            </w:r>
          </w:p>
        </w:tc>
        <w:tc>
          <w:tcPr/>
          <w:p>
            <w:pPr>
              <w:pStyle w:val="Compact"/>
              <w:jc w:val="left"/>
            </w:pPr>
            <w:r>
              <w:t xml:space="preserve">Annual statutory audit planning, risk assessment, and interim fieldwork for the financial year ending 31 December 2025</w:t>
            </w:r>
          </w:p>
        </w:tc>
        <w:tc>
          <w:tcPr/>
          <w:p>
            <w:pPr>
              <w:pStyle w:val="Compact"/>
              <w:jc w:val="left"/>
            </w:pPr>
            <w:r>
              <w:t xml:space="preserve">May 2025</w:t>
            </w:r>
          </w:p>
        </w:tc>
        <w:tc>
          <w:tcPr/>
          <w:p>
            <w:pPr>
              <w:pStyle w:val="Compact"/>
              <w:jc w:val="left"/>
            </w:pPr>
            <w:r>
              <w:t xml:space="preserve">75,000</w:t>
            </w:r>
          </w:p>
        </w:tc>
        <w:tc>
          <w:tcPr/>
          <w:p>
            <w:pPr>
              <w:pStyle w:val="Compact"/>
              <w:jc w:val="left"/>
            </w:pPr>
            <w:r>
              <w:t xml:space="preserve">1</w:t>
            </w:r>
          </w:p>
        </w:tc>
        <w:tc>
          <w:tcPr/>
          <w:p>
            <w:pPr>
              <w:pStyle w:val="Compact"/>
              <w:jc w:val="left"/>
            </w:pPr>
            <w:r>
              <w:t xml:space="preserve">75,000.00</w:t>
            </w:r>
          </w:p>
        </w:tc>
      </w:tr>
      <w:tr>
        <w:tc>
          <w:tcPr/>
          <w:p>
            <w:pPr>
              <w:pStyle w:val="Compact"/>
              <w:jc w:val="left"/>
            </w:pPr>
            <w:r>
              <w:t xml:space="preserve">08</w:t>
            </w:r>
          </w:p>
        </w:tc>
        <w:tc>
          <w:tcPr/>
          <w:p>
            <w:pPr>
              <w:pStyle w:val="Compact"/>
              <w:jc w:val="left"/>
            </w:pPr>
            <w:r>
              <w:t xml:space="preserve">Ad-hoc accounting consultations, regulatory compliance advice under the Companies Act 2015, and board meeting support</w:t>
            </w:r>
          </w:p>
        </w:tc>
        <w:tc>
          <w:tcPr/>
          <w:p>
            <w:pPr>
              <w:pStyle w:val="Compact"/>
              <w:jc w:val="left"/>
            </w:pPr>
            <w:r>
              <w:t xml:space="preserve">May 2025</w:t>
            </w:r>
          </w:p>
        </w:tc>
        <w:tc>
          <w:tcPr/>
          <w:p>
            <w:pPr>
              <w:pStyle w:val="Compact"/>
              <w:jc w:val="left"/>
            </w:pPr>
            <w:r>
              <w:t xml:space="preserve">8,500</w:t>
            </w:r>
          </w:p>
        </w:tc>
        <w:tc>
          <w:tcPr/>
          <w:p>
            <w:pPr>
              <w:pStyle w:val="Compact"/>
              <w:jc w:val="left"/>
            </w:pPr>
            <w:r>
              <w:t xml:space="preserve">6</w:t>
            </w:r>
          </w:p>
        </w:tc>
        <w:tc>
          <w:tcPr/>
          <w:p>
            <w:pPr>
              <w:pStyle w:val="Compact"/>
              <w:jc w:val="left"/>
            </w:pPr>
            <w:r>
              <w:t xml:space="preserve">51,000.00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(KES)</w:t>
            </w:r>
          </w:p>
        </w:tc>
        <w:tc>
          <w:tcPr/>
          <w:p>
            <w:pPr>
              <w:pStyle w:val="Compact"/>
              <w:jc w:val="left"/>
            </w:pPr>
            <w:r>
              <w:t xml:space="preserve">318,500.00</w:t>
            </w:r>
          </w:p>
        </w:tc>
      </w:tr>
      <w:tr>
        <w:tc>
          <w:tcPr/>
          <w:p>
            <w:pPr>
              <w:pStyle w:val="Compact"/>
              <w:jc w:val="left"/>
            </w:pPr>
            <w:r>
              <w:t xml:space="preserve">VAT @ 16% (KES)</w:t>
            </w:r>
          </w:p>
        </w:tc>
        <w:tc>
          <w:tcPr/>
          <w:p>
            <w:pPr>
              <w:pStyle w:val="Compact"/>
              <w:jc w:val="left"/>
            </w:pPr>
            <w:r>
              <w:t xml:space="preserve">50,960.00</w:t>
            </w:r>
          </w:p>
        </w:tc>
      </w:tr>
      <w:tr>
        <w:tc>
          <w:tcPr/>
          <w:p>
            <w:pPr>
              <w:pStyle w:val="Compact"/>
              <w:jc w:val="left"/>
            </w:pPr>
            <w:r>
              <w:t xml:space="preserve">Withholding Tax @ 5% (KES)</w:t>
            </w:r>
          </w:p>
        </w:tc>
        <w:tc>
          <w:tcPr/>
          <w:p>
            <w:pPr>
              <w:pStyle w:val="Compact"/>
              <w:jc w:val="left"/>
            </w:pPr>
            <w:r>
              <w:t xml:space="preserve">(15,925.00)</w:t>
            </w:r>
          </w:p>
        </w:tc>
      </w:tr>
      <w:tr>
        <w:tc>
          <w:tcPr/>
          <w:p>
            <w:pPr>
              <w:pStyle w:val="Compact"/>
              <w:jc w:val="left"/>
            </w:pPr>
            <w:r>
              <w:t xml:space="preserve">Net Amount Payable (KES)</w:t>
            </w:r>
          </w:p>
        </w:tc>
        <w:tc>
          <w:tcPr/>
          <w:p>
            <w:pPr>
              <w:pStyle w:val="Compact"/>
              <w:jc w:val="left"/>
            </w:pPr>
            <w:r>
              <w:t xml:space="preserve">353,535.00</w:t>
            </w:r>
          </w:p>
        </w:tc>
      </w:tr>
    </w:tbl>
    <w:bookmarkStart w:id="24" w:name="invoice-notes-terms"/>
    <w:p>
      <w:pPr>
        <w:pStyle w:val="Heading3"/>
      </w:pPr>
      <w:r>
        <w:t xml:space="preserve">Invoice Notes &amp; Terms</w:t>
      </w:r>
    </w:p>
    <w:p>
      <w:pPr>
        <w:pStyle w:val="FirstParagraph"/>
      </w:pPr>
      <w:r>
        <w:t xml:space="preserve">This Invoice is issued by Meridian Accounting &amp; Advisory Ltd., a registered Accountant firm operating in Kenya Nairobi, in accordance with the Kenya Accountants and Auditors Act (Cap 49) and the ICPAK Code of Ethics.</w:t>
      </w:r>
    </w:p>
    <w:p>
      <w:pPr>
        <w:pStyle w:val="BodyText"/>
      </w:pPr>
      <w:r>
        <w:t xml:space="preserve">Payment is due within fourteen (14) calendar days from the Invoice date. Late payments shall attract a penalty interest of 2% per month as stipulated under the Kenyan Interest and Exchange Rates Act.</w:t>
      </w:r>
    </w:p>
    <w:p>
      <w:pPr>
        <w:pStyle w:val="BodyText"/>
      </w:pPr>
      <w:r>
        <w:t xml:space="preserve">All services rendered by our Accountant team are subject to the terms outlined in the Master Service Agreement dated 01 January 2025. This Invoice covers professional accounting, tax, and advisory services exclusively for the Kenya Nairobi office and its associated branches.</w:t>
      </w:r>
    </w:p>
    <w:p>
      <w:pPr>
        <w:pStyle w:val="BodyText"/>
      </w:pPr>
      <w:r>
        <w:t xml:space="preserve">Please quote the Invoice number INV-2025-00847 in all correspondence and remittances. In the event of any discrepancy, kindly contact the undersigned Accountant within seven (7) business days of receipt of this Invoice.</w:t>
      </w:r>
    </w:p>
    <w:p>
      <w:pPr>
        <w:pStyle w:val="BodyText"/>
      </w:pPr>
      <w:r>
        <w:t xml:space="preserve">This Invoice is valid for ninety (90) days from the date of issue. After this period, the Accountant firm reserves the right to reissue the Invoice with applicable adjustments.</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Equity Bank PLC, Kenya Nairobi – Head Office Branch</w:t>
      </w:r>
    </w:p>
    <w:p>
      <w:pPr>
        <w:pStyle w:val="BodyText"/>
      </w:pPr>
      <w:r>
        <w:rPr>
          <w:bCs/>
          <w:b/>
        </w:rPr>
        <w:t xml:space="preserve">Account Name:</w:t>
      </w:r>
      <w:r>
        <w:t xml:space="preserve"> </w:t>
      </w:r>
      <w:r>
        <w:t xml:space="preserve">Meridian Accounting &amp; Advisory Ltd.</w:t>
      </w:r>
    </w:p>
    <w:p>
      <w:pPr>
        <w:pStyle w:val="BodyText"/>
      </w:pPr>
      <w:r>
        <w:rPr>
          <w:bCs/>
          <w:b/>
        </w:rPr>
        <w:t xml:space="preserve">Account Number:</w:t>
      </w:r>
      <w:r>
        <w:t xml:space="preserve"> </w:t>
      </w:r>
      <w:r>
        <w:t xml:space="preserve">0101234567890</w:t>
      </w:r>
    </w:p>
    <w:p>
      <w:pPr>
        <w:pStyle w:val="BodyText"/>
      </w:pPr>
      <w:r>
        <w:rPr>
          <w:bCs/>
          <w:b/>
        </w:rPr>
        <w:t xml:space="preserve">Branch Code:</w:t>
      </w:r>
      <w:r>
        <w:t xml:space="preserve"> </w:t>
      </w:r>
      <w:r>
        <w:t xml:space="preserve">0100</w:t>
      </w:r>
    </w:p>
    <w:p>
      <w:pPr>
        <w:pStyle w:val="BodyText"/>
      </w:pPr>
      <w:r>
        <w:rPr>
          <w:bCs/>
          <w:b/>
        </w:rPr>
        <w:t xml:space="preserve">SWIFT Code:</w:t>
      </w:r>
      <w:r>
        <w:t xml:space="preserve"> </w:t>
      </w:r>
      <w:r>
        <w:t xml:space="preserve">EQBKKEKE</w:t>
      </w:r>
    </w:p>
    <w:p>
      <w:pPr>
        <w:pStyle w:val="BodyText"/>
      </w:pPr>
      <w:r>
        <w:rPr>
          <w:bCs/>
          <w:b/>
        </w:rPr>
        <w:t xml:space="preserve">M-Pesa Paybill:</w:t>
      </w:r>
      <w:r>
        <w:t xml:space="preserve"> </w:t>
      </w:r>
      <w:r>
        <w:t xml:space="preserve">400222 | Account: INV-2025-00847</w:t>
      </w:r>
    </w:p>
    <w:p>
      <w:pPr>
        <w:pStyle w:val="BodyText"/>
      </w:pPr>
      <w:r>
        <w:rPr>
          <w:bCs/>
          <w:b/>
        </w:rPr>
        <w:t xml:space="preserve">Reference:</w:t>
      </w:r>
      <w:r>
        <w:t xml:space="preserve"> </w:t>
      </w:r>
      <w:r>
        <w:t xml:space="preserve">Please use the Invoice number as the payment reference.</w:t>
      </w:r>
    </w:p>
    <w:bookmarkEnd w:id="25"/>
    <w:p>
      <w:pPr>
        <w:pStyle w:val="BodyText"/>
      </w:pPr>
      <w:r>
        <w:t xml:space="preserve">Paid – Awaiting Confirmation</w:t>
      </w:r>
    </w:p>
    <w:p>
      <w:pPr>
        <w:pStyle w:val="BodyText"/>
      </w:pPr>
      <w:r>
        <w:t xml:space="preserve">Thank you for engaging the services of our Accountant team at Meridian Accounting &amp; Advisory Ltd. in Kenya Nairobi.</w:t>
      </w:r>
    </w:p>
    <w:p>
      <w:pPr>
        <w:pStyle w:val="BodyText"/>
      </w:pPr>
      <w:r>
        <w:t xml:space="preserve">This Invoice has been generated electronically and is valid without a physical signature in accordance with the Kenyan Electronic Transactions Act, 2011.</w:t>
      </w:r>
    </w:p>
    <w:p>
      <w:pPr>
        <w:pStyle w:val="BodyText"/>
      </w:pPr>
      <w:r>
        <w:t xml:space="preserve">Meridian Accounting &amp; Advisory Ltd. | P.O. Box 4521, Nairobi, Kenya | CR No: 12345678 | KRA PIN: P051234567X</w:t>
      </w:r>
    </w:p>
    <w:p>
      <w:pPr>
        <w:pStyle w:val="BodyText"/>
      </w:pPr>
      <w:r>
        <w:t xml:space="preserve">Registered with the Institute of Certified Public Accountants of Kenya (ICPAK) | Nairobi, Kenya</w:t>
      </w:r>
    </w:p>
    <w:p>
      <w:pPr>
        <w:pStyle w:val="BodyText"/>
      </w:pPr>
      <w:r>
        <w:t xml:space="preserve">This Invoice is the property of Meridian Accounting &amp; Advisory Ltd. Unauthorized reproduction is prohibited under Kenyan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Professional Accountant Services - Kenya Nairobi</dc:title>
  <dc:creator/>
  <dc:language>en</dc:language>
  <cp:keywords/>
  <dcterms:created xsi:type="dcterms:W3CDTF">2026-10-10T07:24:31Z</dcterms:created>
  <dcterms:modified xsi:type="dcterms:W3CDTF">2026-10-10T07:24:31Z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