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kheel-accounting-financial-services"/>
    <w:p>
      <w:pPr>
        <w:pStyle w:val="Heading1"/>
      </w:pPr>
      <w:r>
        <w:t xml:space="preserve">Al-Nakheel Accounting &amp; Financial Services</w:t>
      </w:r>
    </w:p>
    <w:p>
      <w:pPr>
        <w:pStyle w:val="FirstParagraph"/>
      </w:pPr>
      <w:r>
        <w:t xml:space="preserve">Professional Accountant Firm</w:t>
      </w:r>
    </w:p>
    <w:p>
      <w:pPr>
        <w:pStyle w:val="BodyText"/>
      </w:pPr>
      <w:r>
        <w:t xml:space="preserve">Office 412, Al-Salem Tower, Al-Salem Street</w:t>
      </w:r>
    </w:p>
    <w:p>
      <w:pPr>
        <w:pStyle w:val="BodyText"/>
      </w:pPr>
      <w:r>
        <w:t xml:space="preserve">Kuwait Kuwait City, P.O. Box 12847, Safat 13001</w:t>
      </w:r>
    </w:p>
    <w:p>
      <w:pPr>
        <w:pStyle w:val="BodyText"/>
      </w:pPr>
      <w:r>
        <w:t xml:space="preserve">State of Kuwait</w:t>
      </w:r>
    </w:p>
    <w:p>
      <w:pPr>
        <w:pStyle w:val="BodyText"/>
      </w:pPr>
      <w:r>
        <w:t xml:space="preserve">Tel: +965 2244 5566 | Email: billing@alnakheel-accountant.kw</w:t>
      </w:r>
    </w:p>
    <w:p>
      <w:pPr>
        <w:pStyle w:val="BodyText"/>
      </w:pPr>
      <w:r>
        <w:t xml:space="preserve">Commercial Registration No: 184729-KW</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Al-Rashid Trading &amp; Logistics W.L.L.</w:t>
      </w:r>
    </w:p>
    <w:p>
      <w:pPr>
        <w:pStyle w:val="BodyText"/>
      </w:pPr>
      <w:r>
        <w:t xml:space="preserve">Attn: Mr. Fahad Al-Rashid, Chief Financial Officer</w:t>
      </w:r>
    </w:p>
    <w:p>
      <w:pPr>
        <w:pStyle w:val="BodyText"/>
      </w:pPr>
      <w:r>
        <w:t xml:space="preserve">Building 7, Block 2, Al-Salimiyah District</w:t>
      </w:r>
    </w:p>
    <w:p>
      <w:pPr>
        <w:pStyle w:val="BodyText"/>
      </w:pPr>
      <w:r>
        <w:t xml:space="preserve">Kuwait Kuwait City, P.O. Box 5521, Salmiya 13001</w:t>
      </w:r>
    </w:p>
    <w:p>
      <w:pPr>
        <w:pStyle w:val="BodyText"/>
      </w:pPr>
      <w:r>
        <w:t xml:space="preserve">State of Kuwait</w:t>
      </w:r>
    </w:p>
    <w:p>
      <w:pPr>
        <w:pStyle w:val="BodyText"/>
      </w:pPr>
      <w:r>
        <w:t xml:space="preserve">Tax / CR No: 209841-KW</w:t>
      </w:r>
    </w:p>
    <w:bookmarkEnd w:id="22"/>
    <w:bookmarkStart w:id="23" w:name="prepared-by-accountant"/>
    <w:p>
      <w:pPr>
        <w:pStyle w:val="Heading3"/>
      </w:pPr>
      <w:r>
        <w:t xml:space="preserve">Prepared By (Accountant)</w:t>
      </w:r>
    </w:p>
    <w:p>
      <w:pPr>
        <w:pStyle w:val="FirstParagraph"/>
      </w:pPr>
      <w:r>
        <w:rPr>
          <w:bCs/>
          <w:b/>
        </w:rPr>
        <w:t xml:space="preserve">Ms. Layla Al-Harbi, CPA</w:t>
      </w:r>
    </w:p>
    <w:p>
      <w:pPr>
        <w:pStyle w:val="BodyText"/>
      </w:pPr>
      <w:r>
        <w:t xml:space="preserve">Senior Accountant &amp; Financial Consultant</w:t>
      </w:r>
    </w:p>
    <w:p>
      <w:pPr>
        <w:pStyle w:val="BodyText"/>
      </w:pPr>
      <w:r>
        <w:t xml:space="preserve">Al-Nakheel Accounting &amp; Financial Services</w:t>
      </w:r>
    </w:p>
    <w:p>
      <w:pPr>
        <w:pStyle w:val="BodyText"/>
      </w:pPr>
      <w:r>
        <w:t xml:space="preserve">Kuwait Kuwait City, Safat 13001</w:t>
      </w:r>
    </w:p>
    <w:p>
      <w:pPr>
        <w:pStyle w:val="BodyText"/>
      </w:pPr>
      <w:r>
        <w:t xml:space="preserve">License No: KW-CPA-2019-0342</w:t>
      </w:r>
    </w:p>
    <w:p>
      <w:pPr>
        <w:pStyle w:val="BodyText"/>
      </w:pPr>
      <w:r>
        <w:t xml:space="preserve">Email: l.alharbi@alnakheel-accountant.kw</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Hours / Units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Monthly financial statement preparation and reconciliation for Al-Rashid Trading &amp; Logistics W.L.L., including balance sheet, income statement, and cash flow statement as required by Kuwaiti commercial law.</w:t>
            </w:r>
          </w:p>
        </w:tc>
        <w:tc>
          <w:tcPr/>
          <w:p>
            <w:pPr>
              <w:pStyle w:val="Compact"/>
              <w:jc w:val="left"/>
            </w:pPr>
            <w:r>
              <w:t xml:space="preserve">24 hrs</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Tax compliance advisory and filing support for the State of Kuwait, including preparation of annual tax declarations, review of withholding obligations, and coordination with the Kuwait Public Authority for Income Tax (PAIT) on behalf of the client.</w:t>
            </w:r>
          </w:p>
        </w:tc>
        <w:tc>
          <w:tcPr/>
          <w:p>
            <w:pPr>
              <w:pStyle w:val="Compact"/>
              <w:jc w:val="left"/>
            </w:pPr>
            <w:r>
              <w:t xml:space="preserve">16 hrs</w:t>
            </w:r>
          </w:p>
        </w:tc>
        <w:tc>
          <w:tcPr/>
          <w:p>
            <w:pPr>
              <w:pStyle w:val="Compact"/>
              <w:jc w:val="left"/>
            </w:pPr>
            <w:r>
              <w:t xml:space="preserve">14.000</w:t>
            </w:r>
          </w:p>
        </w:tc>
        <w:tc>
          <w:tcPr/>
          <w:p>
            <w:pPr>
              <w:pStyle w:val="Compact"/>
              <w:jc w:val="left"/>
            </w:pPr>
            <w:r>
              <w:t xml:space="preserve">224.000</w:t>
            </w:r>
          </w:p>
        </w:tc>
      </w:tr>
      <w:tr>
        <w:tc>
          <w:tcPr/>
          <w:p>
            <w:pPr>
              <w:pStyle w:val="Compact"/>
              <w:jc w:val="left"/>
            </w:pPr>
            <w:r>
              <w:t xml:space="preserve">3</w:t>
            </w:r>
          </w:p>
        </w:tc>
        <w:tc>
          <w:tcPr/>
          <w:p>
            <w:pPr>
              <w:pStyle w:val="Compact"/>
              <w:jc w:val="left"/>
            </w:pPr>
            <w:r>
              <w:t xml:space="preserve">Payroll processing and social security contribution management for 45 employees, including salary calculations, end-of-service benefit accruals, and statutory deductions in compliance with Kuwaiti labor regulations.</w:t>
            </w:r>
          </w:p>
        </w:tc>
        <w:tc>
          <w:tcPr/>
          <w:p>
            <w:pPr>
              <w:pStyle w:val="Compact"/>
              <w:jc w:val="left"/>
            </w:pPr>
            <w:r>
              <w:t xml:space="preserve">12 hrs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4</w:t>
            </w:r>
          </w:p>
        </w:tc>
        <w:tc>
          <w:tcPr/>
          <w:p>
            <w:pPr>
              <w:pStyle w:val="Compact"/>
              <w:jc w:val="left"/>
            </w:pPr>
            <w:r>
              <w:t xml:space="preserve">Accounts payable and accounts receivable management, vendor reconciliation, and aging analysis for the month of May 2025. Includes preparation of collection reports and credit risk assessment for key trading partners in Kuwait Kuwait City and the wider Gulf region.</w:t>
            </w:r>
          </w:p>
        </w:tc>
        <w:tc>
          <w:tcPr/>
          <w:p>
            <w:pPr>
              <w:pStyle w:val="Compact"/>
              <w:jc w:val="left"/>
            </w:pPr>
            <w:r>
              <w:t xml:space="preserve">18 hrs</w:t>
            </w:r>
          </w:p>
        </w:tc>
        <w:tc>
          <w:tcPr/>
          <w:p>
            <w:pPr>
              <w:pStyle w:val="Compact"/>
              <w:jc w:val="left"/>
            </w:pPr>
            <w:r>
              <w:t xml:space="preserve">10.500</w:t>
            </w:r>
          </w:p>
        </w:tc>
        <w:tc>
          <w:tcPr/>
          <w:p>
            <w:pPr>
              <w:pStyle w:val="Compact"/>
              <w:jc w:val="left"/>
            </w:pPr>
            <w:r>
              <w:t xml:space="preserve">189.000</w:t>
            </w:r>
          </w:p>
        </w:tc>
      </w:tr>
      <w:tr>
        <w:tc>
          <w:tcPr/>
          <w:p>
            <w:pPr>
              <w:pStyle w:val="Compact"/>
              <w:jc w:val="left"/>
            </w:pPr>
            <w:r>
              <w:t xml:space="preserve">5</w:t>
            </w:r>
          </w:p>
        </w:tc>
        <w:tc>
          <w:tcPr/>
          <w:p>
            <w:pPr>
              <w:pStyle w:val="Compact"/>
              <w:jc w:val="left"/>
            </w:pPr>
            <w:r>
              <w:t xml:space="preserve">Internal audit support and financial control review. The Accountant conducted a comprehensive review of internal controls, identified three areas of improvement in the procurement cycle, and submitted a written report with corrective recommendations to the CFO.</w:t>
            </w:r>
          </w:p>
        </w:tc>
        <w:tc>
          <w:tcPr/>
          <w:p>
            <w:pPr>
              <w:pStyle w:val="Compact"/>
              <w:jc w:val="left"/>
            </w:pPr>
            <w:r>
              <w:t xml:space="preserve">10 hrs</w:t>
            </w:r>
          </w:p>
        </w:tc>
        <w:tc>
          <w:tcPr/>
          <w:p>
            <w:pPr>
              <w:pStyle w:val="Compact"/>
              <w:jc w:val="left"/>
            </w:pPr>
            <w:r>
              <w:t xml:space="preserve">16.000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Ad-hoc financial consulting and board presentation support. The Accountant prepared a quarterly performance summary, variance analysis against budget, and presented findings to the Board of Directors of Al-Rashid Trading &amp; Logistics W.L.L. in Kuwait Kuwait City.</w:t>
            </w:r>
          </w:p>
        </w:tc>
        <w:tc>
          <w:tcPr/>
          <w:p>
            <w:pPr>
              <w:pStyle w:val="Compact"/>
              <w:jc w:val="left"/>
            </w:pPr>
            <w:r>
              <w:t xml:space="preserve">6 hrs</w:t>
            </w:r>
          </w:p>
        </w:tc>
        <w:tc>
          <w:tcPr/>
          <w:p>
            <w:pPr>
              <w:pStyle w:val="Compact"/>
              <w:jc w:val="left"/>
            </w:pPr>
            <w:r>
              <w:t xml:space="preserve">18.000</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1,113.000 KWD</w:t>
            </w:r>
          </w:p>
        </w:tc>
      </w:tr>
      <w:tr>
        <w:tc>
          <w:tcPr/>
          <w:p>
            <w:pPr>
              <w:pStyle w:val="Compact"/>
              <w:jc w:val="left"/>
            </w:pPr>
            <w:r>
              <w:t xml:space="preserve">Service Fee (5%)</w:t>
            </w:r>
          </w:p>
        </w:tc>
        <w:tc>
          <w:tcPr/>
          <w:p>
            <w:pPr>
              <w:pStyle w:val="Compact"/>
              <w:jc w:val="left"/>
            </w:pPr>
            <w:r>
              <w:t xml:space="preserve">55.650 KWD</w:t>
            </w:r>
          </w:p>
        </w:tc>
      </w:tr>
      <w:tr>
        <w:tc>
          <w:tcPr/>
          <w:p>
            <w:pPr>
              <w:pStyle w:val="Compact"/>
              <w:jc w:val="left"/>
            </w:pPr>
            <w:r>
              <w:t xml:space="preserve">Discount (Early Payment – 2%)</w:t>
            </w:r>
          </w:p>
        </w:tc>
        <w:tc>
          <w:tcPr/>
          <w:p>
            <w:pPr>
              <w:pStyle w:val="Compact"/>
              <w:jc w:val="left"/>
            </w:pPr>
            <w:r>
              <w:t xml:space="preserve">(22.260) KWD</w:t>
            </w:r>
          </w:p>
        </w:tc>
      </w:tr>
      <w:tr>
        <w:tc>
          <w:tcPr/>
          <w:p>
            <w:pPr>
              <w:pStyle w:val="Compact"/>
              <w:jc w:val="left"/>
            </w:pPr>
            <w:r>
              <w:t xml:space="preserve">Grand Total Due</w:t>
            </w:r>
          </w:p>
        </w:tc>
        <w:tc>
          <w:tcPr/>
          <w:p>
            <w:pPr>
              <w:pStyle w:val="Compact"/>
              <w:jc w:val="left"/>
            </w:pPr>
            <w:r>
              <w:t xml:space="preserve">1,146.390 KWD</w:t>
            </w:r>
          </w:p>
        </w:tc>
      </w:tr>
    </w:tbl>
    <w:bookmarkStart w:id="24" w:name="invoice-notes-terms"/>
    <w:p>
      <w:pPr>
        <w:pStyle w:val="Heading3"/>
      </w:pPr>
      <w:r>
        <w:t xml:space="preserve">Invoice Notes &amp; Terms</w:t>
      </w:r>
    </w:p>
    <w:p>
      <w:pPr>
        <w:pStyle w:val="FirstParagraph"/>
      </w:pPr>
      <w:r>
        <w:t xml:space="preserve">This Invoice is issued by Al-Nakheel Accounting &amp; Financial Services, a licensed Accountant firm operating in Kuwait Kuwait City, in accordance with the commercial and professional standards of the State of Kuwait. All services rendered by our Accountant team are subject to the terms outlined in the Master Service Agreement (MSA-2024-0087) signed between both parties on 12 January 2024.</w:t>
      </w:r>
    </w:p>
    <w:p>
      <w:pPr>
        <w:pStyle w:val="BodyText"/>
      </w:pPr>
      <w:r>
        <w:t xml:space="preserve">Payment is due within fourteen (14) calendar days from the Invoice date. A 2% early payment discount applies if the full amount is settled on or before 22 June 2025. Late payments shall incur a monthly interest charge of 2.5% on the outstanding balance, in compliance with Kuwaiti commercial practice.</w:t>
      </w:r>
    </w:p>
    <w:p>
      <w:pPr>
        <w:pStyle w:val="BodyText"/>
      </w:pPr>
      <w:r>
        <w:t xml:space="preserve">All figures on this Invoice are denominated in Kuwaiti Dinars (KWD). The Accountant firm reserves the right to adjust rates annually based on the Kuwaiti Consumer Price Index. This Invoice does not constitute a tax invoice for VAT purposes, as the State of Kuwait does not currently impose a value-added tax on professional services of this nature.</w:t>
      </w:r>
    </w:p>
    <w:p>
      <w:pPr>
        <w:pStyle w:val="BodyText"/>
      </w:pPr>
      <w:r>
        <w:t xml:space="preserve">Any disputes arising from this Invoice shall be resolved through the competent courts in Kuwait Kuwait City, in accordance with the laws of the State of Kuwait. The client is requested to verify all line items and contact the assigned Accountant, Ms. Layla Al-Harbi, within five business days of receipt if any corrections are required.</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National Bank of Kuwait (NBK)</w:t>
      </w:r>
    </w:p>
    <w:p>
      <w:pPr>
        <w:pStyle w:val="BodyText"/>
      </w:pPr>
      <w:r>
        <w:rPr>
          <w:bCs/>
          <w:b/>
        </w:rPr>
        <w:t xml:space="preserve">Branch:</w:t>
      </w:r>
      <w:r>
        <w:t xml:space="preserve"> </w:t>
      </w:r>
      <w:r>
        <w:t xml:space="preserve">Safat Branch, Kuwait Kuwait City</w:t>
      </w:r>
    </w:p>
    <w:p>
      <w:pPr>
        <w:pStyle w:val="BodyText"/>
      </w:pPr>
      <w:r>
        <w:rPr>
          <w:bCs/>
          <w:b/>
        </w:rPr>
        <w:t xml:space="preserve">Account Name:</w:t>
      </w:r>
      <w:r>
        <w:t xml:space="preserve"> </w:t>
      </w:r>
      <w:r>
        <w:t xml:space="preserve">Al-Nakheel Accounting &amp; Financial Services</w:t>
      </w:r>
    </w:p>
    <w:p>
      <w:pPr>
        <w:pStyle w:val="BodyText"/>
      </w:pPr>
      <w:r>
        <w:rPr>
          <w:bCs/>
          <w:b/>
        </w:rPr>
        <w:t xml:space="preserve">Account No:</w:t>
      </w:r>
      <w:r>
        <w:t xml:space="preserve"> </w:t>
      </w:r>
      <w:r>
        <w:t xml:space="preserve">001-4455-6677-8899</w:t>
      </w:r>
    </w:p>
    <w:p>
      <w:pPr>
        <w:pStyle w:val="BodyText"/>
      </w:pPr>
      <w:r>
        <w:rPr>
          <w:bCs/>
          <w:b/>
        </w:rPr>
        <w:t xml:space="preserve">SWIFT Code:</w:t>
      </w:r>
      <w:r>
        <w:t xml:space="preserve"> </w:t>
      </w:r>
      <w:r>
        <w:t xml:space="preserve">NBKOKWKA</w:t>
      </w:r>
    </w:p>
    <w:p>
      <w:pPr>
        <w:pStyle w:val="BodyText"/>
      </w:pPr>
      <w:r>
        <w:rPr>
          <w:bCs/>
          <w:b/>
        </w:rPr>
        <w:t xml:space="preserve">IBAN:</w:t>
      </w:r>
      <w:r>
        <w:t xml:space="preserve"> </w:t>
      </w:r>
      <w:r>
        <w:t xml:space="preserve">KW81 NBOK 0000 0000 4455 6677 8899</w:t>
      </w:r>
    </w:p>
    <w:bookmarkEnd w:id="25"/>
    <w:bookmarkStart w:id="26" w:name="invoice-reference-for-payment"/>
    <w:p>
      <w:pPr>
        <w:pStyle w:val="Heading3"/>
      </w:pPr>
      <w:r>
        <w:t xml:space="preserve">Invoice Reference for Payment</w:t>
      </w:r>
    </w:p>
    <w:p>
      <w:pPr>
        <w:pStyle w:val="FirstParagraph"/>
      </w:pPr>
      <w:r>
        <w:t xml:space="preserve">Please reference</w:t>
      </w:r>
      <w:r>
        <w:t xml:space="preserve"> </w:t>
      </w:r>
      <w:r>
        <w:rPr>
          <w:bCs/>
          <w:b/>
        </w:rPr>
        <w:t xml:space="preserve">INV-2025-00472</w:t>
      </w:r>
      <w:r>
        <w:t xml:space="preserve"> </w:t>
      </w:r>
      <w:r>
        <w:t xml:space="preserve">in the payment remarks field to ensure proper allocation of funds to this Invoice.</w:t>
      </w:r>
    </w:p>
    <w:p>
      <w:pPr>
        <w:pStyle w:val="BodyText"/>
      </w:pPr>
      <w:r>
        <w:t xml:space="preserve">For payment queries, contact our billing department at +965 2244 5566, extension 201, or email billing@alnakheel-accountant.kw.</w:t>
      </w:r>
    </w:p>
    <w:p>
      <w:pPr>
        <w:pStyle w:val="BodyText"/>
      </w:pPr>
      <w:r>
        <w:t xml:space="preserve">Payment may be made via bank transfer, cheque, or approved electronic payment methods accepted in Kuwait Kuwait City.</w:t>
      </w:r>
    </w:p>
    <w:bookmarkEnd w:id="26"/>
    <w:p>
      <w:pPr>
        <w:pStyle w:val="BodyText"/>
      </w:pPr>
      <w:r>
        <w:rPr>
          <w:bCs/>
          <w:b/>
        </w:rPr>
        <w:t xml:space="preserve">Al-Nakheel Accounting &amp; Financial Services</w:t>
      </w:r>
      <w:r>
        <w:t xml:space="preserve"> </w:t>
      </w:r>
      <w:r>
        <w:t xml:space="preserve">| Professional Accountant Firm | Kuwait Kuwait City, Safat 13001, State of Kuwait</w:t>
      </w:r>
    </w:p>
    <w:p>
      <w:pPr>
        <w:pStyle w:val="BodyText"/>
      </w:pPr>
      <w:r>
        <w:t xml:space="preserve">Commercial Registration No: 184729-KW | CPA License: KW-CPA-2019-0342 | Tel: +965 2244 5566</w:t>
      </w:r>
    </w:p>
    <w:p>
      <w:pPr>
        <w:pStyle w:val="BodyText"/>
      </w:pPr>
      <w:r>
        <w:t xml:space="preserve">This Invoice was generated electronically on 15 June 2025 and is valid for a period of ninety (90) days from the date of issue. Thank you for choosing our Accountant services in Kuwait Kuwait City.</w:t>
      </w:r>
    </w:p>
    <w:p>
      <w:pPr>
        <w:pStyle w:val="BodyText"/>
      </w:pPr>
      <w:r>
        <w:t xml:space="preserve">Page 1 of 1 | Invoice INV-2025-00472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Kuwait Kuwait City</dc:title>
  <dc:creator/>
  <dc:language>en</dc:language>
  <cp:keywords/>
  <dcterms:created xsi:type="dcterms:W3CDTF">2026-10-10T07:21:41Z</dcterms:created>
  <dcterms:modified xsi:type="dcterms:W3CDTF">2026-10-10T07:21:41Z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