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d1d266adbd0d0120b66ff59d112f6eff667ee25"/>
    <w:p>
      <w:pPr>
        <w:pStyle w:val="Heading1"/>
      </w:pPr>
      <w:r>
        <w:t xml:space="preserve">KL Financial Accountant Services Sdn. Bhd.</w:t>
      </w:r>
    </w:p>
    <w:p>
      <w:pPr>
        <w:pStyle w:val="FirstParagraph"/>
      </w:pPr>
      <w:r>
        <w:t xml:space="preserve">Lot 12, Level 8, Menara Commerce, Jalan Sultan Ismail</w:t>
      </w:r>
    </w:p>
    <w:p>
      <w:pPr>
        <w:pStyle w:val="BodyText"/>
      </w:pPr>
      <w:r>
        <w:t xml:space="preserve">50250 Malaysia Kuala Lumpur, Wilayah Persekutuan</w:t>
      </w:r>
    </w:p>
    <w:p>
      <w:pPr>
        <w:pStyle w:val="BodyText"/>
      </w:pPr>
      <w:r>
        <w:t xml:space="preserve">Tel: +603-2145 6789 | Email: billing@klfinancialaccountant.com.my</w:t>
      </w:r>
    </w:p>
    <w:p>
      <w:pPr>
        <w:pStyle w:val="BodyText"/>
      </w:pPr>
      <w:r>
        <w:t xml:space="preserve">Company Reg. No: 201901045678 (678901-X)</w:t>
      </w:r>
    </w:p>
    <w:p>
      <w:pPr>
        <w:pStyle w:val="BodyText"/>
      </w:pPr>
      <w:r>
        <w:t xml:space="preserve">SST Registration No: 000123456789</w:t>
      </w:r>
    </w:p>
    <w:bookmarkEnd w:id="20"/>
    <w:bookmarkStart w:id="21" w:name="invoice"/>
    <w:p>
      <w:pPr>
        <w:pStyle w:val="Heading2"/>
      </w:pPr>
      <w:r>
        <w:t xml:space="preserve">INVOICE</w:t>
      </w:r>
    </w:p>
    <w:p>
      <w:pPr>
        <w:pStyle w:val="FirstParagraph"/>
      </w:pPr>
      <w:r>
        <w:t xml:space="preserve">Professional Accountant Services</w:t>
      </w:r>
    </w:p>
    <w:p>
      <w:pPr>
        <w:pStyle w:val="BodyText"/>
      </w:pPr>
      <w:r>
        <w:t xml:space="preserve">Invoice No: INV-KL-2025-00472</w:t>
      </w:r>
    </w:p>
    <w:p>
      <w:pPr>
        <w:pStyle w:val="BodyText"/>
      </w:pPr>
      <w:r>
        <w:t xml:space="preserve">Date of Issue: 15 June 2025</w:t>
      </w:r>
    </w:p>
    <w:p>
      <w:pPr>
        <w:pStyle w:val="BodyText"/>
      </w:pPr>
      <w:r>
        <w:t xml:space="preserve">Due Date: 15 July 2025</w:t>
      </w:r>
    </w:p>
    <w:bookmarkEnd w:id="21"/>
    <w:bookmarkStart w:id="22" w:name="billed-to"/>
    <w:p>
      <w:pPr>
        <w:pStyle w:val="Heading3"/>
      </w:pPr>
      <w:r>
        <w:t xml:space="preserve">Billed To</w:t>
      </w:r>
    </w:p>
    <w:p>
      <w:pPr>
        <w:pStyle w:val="FirstParagraph"/>
      </w:pPr>
      <w:r>
        <w:rPr>
          <w:bCs/>
          <w:b/>
        </w:rPr>
        <w:t xml:space="preserve">Meridian Trading &amp; Logistics (M) Sdn. Bhd.</w:t>
      </w:r>
    </w:p>
    <w:p>
      <w:pPr>
        <w:pStyle w:val="BodyText"/>
      </w:pPr>
      <w:r>
        <w:t xml:space="preserve">Unit 5-2, Ground Floor, Bangunan Sentral</w:t>
      </w:r>
    </w:p>
    <w:p>
      <w:pPr>
        <w:pStyle w:val="BodyText"/>
      </w:pPr>
      <w:r>
        <w:t xml:space="preserve">Jalan Ampang, 50450 Malaysia Kuala Lumpur</w:t>
      </w:r>
    </w:p>
    <w:p>
      <w:pPr>
        <w:pStyle w:val="BodyText"/>
      </w:pPr>
      <w:r>
        <w:t xml:space="preserve">Attn: Mr. Tan Wei Ming, Finance Director</w:t>
      </w:r>
    </w:p>
    <w:p>
      <w:pPr>
        <w:pStyle w:val="BodyText"/>
      </w:pPr>
      <w:r>
        <w:t xml:space="preserve">Company Reg. No: 201501234567</w:t>
      </w:r>
    </w:p>
    <w:bookmarkEnd w:id="22"/>
    <w:bookmarkStart w:id="23" w:name="invoice-reference"/>
    <w:p>
      <w:pPr>
        <w:pStyle w:val="Heading3"/>
      </w:pPr>
      <w:r>
        <w:t xml:space="preserve">Invoice Reference</w:t>
      </w:r>
    </w:p>
    <w:p>
      <w:pPr>
        <w:pStyle w:val="FirstParagraph"/>
      </w:pPr>
      <w:r>
        <w:rPr>
          <w:bCs/>
          <w:b/>
        </w:rPr>
        <w:t xml:space="preserve">Service Period:</w:t>
      </w:r>
      <w:r>
        <w:t xml:space="preserve"> </w:t>
      </w:r>
      <w:r>
        <w:t xml:space="preserve">1 January 2025 – 31 May 2025</w:t>
      </w:r>
    </w:p>
    <w:p>
      <w:pPr>
        <w:pStyle w:val="BodyText"/>
      </w:pPr>
      <w:r>
        <w:rPr>
          <w:bCs/>
          <w:b/>
        </w:rPr>
        <w:t xml:space="preserve">Accountant Assigned:</w:t>
      </w:r>
      <w:r>
        <w:t xml:space="preserve"> </w:t>
      </w:r>
      <w:r>
        <w:t xml:space="preserve">Puan Aisyah binti Rahman, MIA</w:t>
      </w:r>
    </w:p>
    <w:p>
      <w:pPr>
        <w:pStyle w:val="BodyText"/>
      </w:pPr>
      <w:r>
        <w:rPr>
          <w:bCs/>
          <w:b/>
        </w:rPr>
        <w:t xml:space="preserve">Engagement Ref:</w:t>
      </w:r>
      <w:r>
        <w:t xml:space="preserve"> </w:t>
      </w:r>
      <w:r>
        <w:t xml:space="preserve">ENG-KL-2025-0089</w:t>
      </w:r>
    </w:p>
    <w:p>
      <w:pPr>
        <w:pStyle w:val="BodyText"/>
      </w:pPr>
      <w:r>
        <w:rPr>
          <w:bCs/>
          <w:b/>
        </w:rPr>
        <w:t xml:space="preserve">Payment Method:</w:t>
      </w:r>
      <w:r>
        <w:t xml:space="preserve"> </w:t>
      </w:r>
      <w:r>
        <w:t xml:space="preserve">Bank Transfer (Maybank)</w:t>
      </w:r>
    </w:p>
    <w:p>
      <w:pPr>
        <w:pStyle w:val="BodyText"/>
      </w:pPr>
      <w:r>
        <w:rPr>
          <w:bCs/>
          <w:b/>
        </w:rPr>
        <w:t xml:space="preserve">Bank Account:</w:t>
      </w:r>
      <w:r>
        <w:t xml:space="preserve"> </w:t>
      </w:r>
      <w:r>
        <w:t xml:space="preserve">5123 4567 8901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Accountant Services</w:t>
            </w:r>
          </w:p>
        </w:tc>
        <w:tc>
          <w:tcPr/>
          <w:p>
            <w:pPr>
              <w:pStyle w:val="Compact"/>
              <w:jc w:val="left"/>
            </w:pPr>
            <w:r>
              <w:t xml:space="preserve">Period</w:t>
            </w:r>
          </w:p>
        </w:tc>
        <w:tc>
          <w:tcPr/>
          <w:p>
            <w:pPr>
              <w:pStyle w:val="Compact"/>
              <w:jc w:val="left"/>
            </w:pPr>
            <w:r>
              <w:t xml:space="preserve">Rate (RM)</w:t>
            </w:r>
          </w:p>
        </w:tc>
        <w:tc>
          <w:tcPr/>
          <w:p>
            <w:pPr>
              <w:pStyle w:val="Compact"/>
              <w:jc w:val="left"/>
            </w:pPr>
            <w:r>
              <w:t xml:space="preserve">Amount (RM)</w:t>
            </w:r>
          </w:p>
        </w:tc>
        <w:tc>
          <w:tcPr/>
          <w:p>
            <w:pPr>
              <w:pStyle w:val="Compact"/>
              <w:jc w:val="left"/>
            </w:pPr>
            <w:r>
              <w:t xml:space="preserve">SST 6%</w:t>
            </w:r>
          </w:p>
        </w:tc>
      </w:tr>
      <w:tr>
        <w:tc>
          <w:tcPr/>
          <w:p>
            <w:pPr>
              <w:pStyle w:val="Compact"/>
              <w:jc w:val="left"/>
            </w:pPr>
            <w:r>
              <w:t xml:space="preserve">1</w:t>
            </w:r>
          </w:p>
        </w:tc>
        <w:tc>
          <w:tcPr/>
          <w:p>
            <w:pPr>
              <w:pStyle w:val="Compact"/>
              <w:jc w:val="left"/>
            </w:pPr>
            <w:r>
              <w:t xml:space="preserve">Monthly bookkeeping and financial record maintenance by the assigned Accountant, including journal entries, bank reconciliations, and ledger updates for all business units in Malaysia Kuala Lumpur.</w:t>
            </w:r>
          </w:p>
        </w:tc>
        <w:tc>
          <w:tcPr/>
          <w:p>
            <w:pPr>
              <w:pStyle w:val="Compact"/>
              <w:jc w:val="left"/>
            </w:pPr>
            <w:r>
              <w:t xml:space="preserve">Jan – May 2025</w:t>
            </w:r>
          </w:p>
        </w:tc>
        <w:tc>
          <w:tcPr/>
          <w:p>
            <w:pPr>
              <w:pStyle w:val="Compact"/>
              <w:jc w:val="left"/>
            </w:pPr>
            <w:r>
              <w:t xml:space="preserve">4,500.00</w:t>
            </w:r>
          </w:p>
        </w:tc>
        <w:tc>
          <w:tcPr/>
          <w:p>
            <w:pPr>
              <w:pStyle w:val="Compact"/>
              <w:jc w:val="left"/>
            </w:pPr>
            <w:r>
              <w:t xml:space="preserve">22,500.00</w:t>
            </w:r>
          </w:p>
        </w:tc>
        <w:tc>
          <w:tcPr/>
          <w:p>
            <w:pPr>
              <w:pStyle w:val="Compact"/>
              <w:jc w:val="left"/>
            </w:pPr>
            <w:r>
              <w:t xml:space="preserve">1,350.00</w:t>
            </w:r>
          </w:p>
        </w:tc>
      </w:tr>
      <w:tr>
        <w:tc>
          <w:tcPr/>
          <w:p>
            <w:pPr>
              <w:pStyle w:val="Compact"/>
              <w:jc w:val="left"/>
            </w:pPr>
            <w:r>
              <w:t xml:space="preserve">2</w:t>
            </w:r>
          </w:p>
        </w:tc>
        <w:tc>
          <w:tcPr/>
          <w:p>
            <w:pPr>
              <w:pStyle w:val="Compact"/>
              <w:jc w:val="left"/>
            </w:pPr>
            <w:r>
              <w:t xml:space="preserve">Preparation and filing of monthly statutory tax returns (Form B, Form E, and SST returns) with the Inland Revenue Board of Malaysia (LHDN) on behalf of the client, handled by a certified Accountant registered with MIA.</w:t>
            </w:r>
          </w:p>
        </w:tc>
        <w:tc>
          <w:tcPr/>
          <w:p>
            <w:pPr>
              <w:pStyle w:val="Compact"/>
              <w:jc w:val="left"/>
            </w:pPr>
            <w:r>
              <w:t xml:space="preserve">Jan – May 2025</w:t>
            </w:r>
          </w:p>
        </w:tc>
        <w:tc>
          <w:tcPr/>
          <w:p>
            <w:pPr>
              <w:pStyle w:val="Compact"/>
              <w:jc w:val="left"/>
            </w:pPr>
            <w:r>
              <w:t xml:space="preserve">2,800.00</w:t>
            </w:r>
          </w:p>
        </w:tc>
        <w:tc>
          <w:tcPr/>
          <w:p>
            <w:pPr>
              <w:pStyle w:val="Compact"/>
              <w:jc w:val="left"/>
            </w:pPr>
            <w:r>
              <w:t xml:space="preserve">14,000.00</w:t>
            </w:r>
          </w:p>
        </w:tc>
        <w:tc>
          <w:tcPr/>
          <w:p>
            <w:pPr>
              <w:pStyle w:val="Compact"/>
              <w:jc w:val="left"/>
            </w:pPr>
            <w:r>
              <w:t xml:space="preserve">840.00</w:t>
            </w:r>
          </w:p>
        </w:tc>
      </w:tr>
      <w:tr>
        <w:tc>
          <w:tcPr/>
          <w:p>
            <w:pPr>
              <w:pStyle w:val="Compact"/>
              <w:jc w:val="left"/>
            </w:pPr>
            <w:r>
              <w:t xml:space="preserve">3</w:t>
            </w:r>
          </w:p>
        </w:tc>
        <w:tc>
          <w:tcPr/>
          <w:p>
            <w:pPr>
              <w:pStyle w:val="Compact"/>
              <w:jc w:val="left"/>
            </w:pPr>
            <w:r>
              <w:t xml:space="preserve">Quarterly management accounts preparation and variance analysis reports, including profit and loss statements, balance sheets, and cash flow projections reviewed by the senior Accountant team in Malaysia Kuala Lumpur.</w:t>
            </w:r>
          </w:p>
        </w:tc>
        <w:tc>
          <w:tcPr/>
          <w:p>
            <w:pPr>
              <w:pStyle w:val="Compact"/>
              <w:jc w:val="left"/>
            </w:pPr>
            <w:r>
              <w:t xml:space="preserve">Q1 &amp; Q2 2025</w:t>
            </w:r>
          </w:p>
        </w:tc>
        <w:tc>
          <w:tcPr/>
          <w:p>
            <w:pPr>
              <w:pStyle w:val="Compact"/>
              <w:jc w:val="left"/>
            </w:pPr>
            <w:r>
              <w:t xml:space="preserve">3,200.00</w:t>
            </w:r>
          </w:p>
        </w:tc>
        <w:tc>
          <w:tcPr/>
          <w:p>
            <w:pPr>
              <w:pStyle w:val="Compact"/>
              <w:jc w:val="left"/>
            </w:pPr>
            <w:r>
              <w:t xml:space="preserve">6,400.00</w:t>
            </w:r>
          </w:p>
        </w:tc>
        <w:tc>
          <w:tcPr/>
          <w:p>
            <w:pPr>
              <w:pStyle w:val="Compact"/>
              <w:jc w:val="left"/>
            </w:pPr>
            <w:r>
              <w:t xml:space="preserve">384.00</w:t>
            </w:r>
          </w:p>
        </w:tc>
      </w:tr>
      <w:tr>
        <w:tc>
          <w:tcPr/>
          <w:p>
            <w:pPr>
              <w:pStyle w:val="Compact"/>
              <w:jc w:val="left"/>
            </w:pPr>
            <w:r>
              <w:t xml:space="preserve">4</w:t>
            </w:r>
          </w:p>
        </w:tc>
        <w:tc>
          <w:tcPr/>
          <w:p>
            <w:pPr>
              <w:pStyle w:val="Compact"/>
              <w:jc w:val="left"/>
            </w:pPr>
            <w:r>
              <w:t xml:space="preserve">Annual financial statements compilation and audit support services, including preparation of notes to the accounts, management representation letters, and coordination with external auditors, performed by the Accountant engagement team.</w:t>
            </w:r>
          </w:p>
        </w:tc>
        <w:tc>
          <w:tcPr/>
          <w:p>
            <w:pPr>
              <w:pStyle w:val="Compact"/>
              <w:jc w:val="left"/>
            </w:pPr>
            <w:r>
              <w:t xml:space="preserve">May 2025</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510.00</w:t>
            </w:r>
          </w:p>
        </w:tc>
      </w:tr>
      <w:tr>
        <w:tc>
          <w:tcPr/>
          <w:p>
            <w:pPr>
              <w:pStyle w:val="Compact"/>
              <w:jc w:val="left"/>
            </w:pPr>
            <w:r>
              <w:t xml:space="preserve">5</w:t>
            </w:r>
          </w:p>
        </w:tc>
        <w:tc>
          <w:tcPr/>
          <w:p>
            <w:pPr>
              <w:pStyle w:val="Compact"/>
              <w:jc w:val="left"/>
            </w:pPr>
            <w:r>
              <w:t xml:space="preserve">Advisory and consulting services on corporate tax planning, transfer pricing documentation, and compliance with the Companies Act 2016, provided by the principal Accountant and senior partners of the firm in Malaysia Kuala Lumpur.</w:t>
            </w:r>
          </w:p>
        </w:tc>
        <w:tc>
          <w:tcPr/>
          <w:p>
            <w:pPr>
              <w:pStyle w:val="Compact"/>
              <w:jc w:val="left"/>
            </w:pPr>
            <w:r>
              <w:t xml:space="preserve">Jan – May 2025</w:t>
            </w:r>
          </w:p>
        </w:tc>
        <w:tc>
          <w:tcPr/>
          <w:p>
            <w:pPr>
              <w:pStyle w:val="Compact"/>
              <w:jc w:val="left"/>
            </w:pPr>
            <w:r>
              <w:t xml:space="preserve">1,800.00</w:t>
            </w:r>
          </w:p>
        </w:tc>
        <w:tc>
          <w:tcPr/>
          <w:p>
            <w:pPr>
              <w:pStyle w:val="Compact"/>
              <w:jc w:val="left"/>
            </w:pPr>
            <w:r>
              <w:t xml:space="preserve">9,000.00</w:t>
            </w:r>
          </w:p>
        </w:tc>
        <w:tc>
          <w:tcPr/>
          <w:p>
            <w:pPr>
              <w:pStyle w:val="Compact"/>
              <w:jc w:val="left"/>
            </w:pPr>
            <w:r>
              <w:t xml:space="preserve">540.00</w:t>
            </w:r>
          </w:p>
        </w:tc>
      </w:tr>
      <w:tr>
        <w:tc>
          <w:tcPr/>
          <w:p>
            <w:pPr>
              <w:pStyle w:val="Compact"/>
              <w:jc w:val="left"/>
            </w:pPr>
            <w:r>
              <w:t xml:space="preserve">6</w:t>
            </w:r>
          </w:p>
        </w:tc>
        <w:tc>
          <w:tcPr/>
          <w:p>
            <w:pPr>
              <w:pStyle w:val="Compact"/>
              <w:jc w:val="left"/>
            </w:pPr>
            <w:r>
              <w:t xml:space="preserve">Payroll processing and EPF/SOCSO/PCB compliance management for 45 employees, including monthly salary disbursement, statutory deductions, and year-end tax computation, managed by the dedicated Accountant payroll specialist.</w:t>
            </w:r>
          </w:p>
        </w:tc>
        <w:tc>
          <w:tcPr/>
          <w:p>
            <w:pPr>
              <w:pStyle w:val="Compact"/>
              <w:jc w:val="left"/>
            </w:pPr>
            <w:r>
              <w:t xml:space="preserve">Jan – May 2025</w:t>
            </w:r>
          </w:p>
        </w:tc>
        <w:tc>
          <w:tcPr/>
          <w:p>
            <w:pPr>
              <w:pStyle w:val="Compact"/>
              <w:jc w:val="left"/>
            </w:pPr>
            <w:r>
              <w:t xml:space="preserve">1,200.00</w:t>
            </w:r>
          </w:p>
        </w:tc>
        <w:tc>
          <w:tcPr/>
          <w:p>
            <w:pPr>
              <w:pStyle w:val="Compact"/>
              <w:jc w:val="left"/>
            </w:pPr>
            <w:r>
              <w:t xml:space="preserve">6,000.00</w:t>
            </w:r>
          </w:p>
        </w:tc>
        <w:tc>
          <w:tcPr/>
          <w:p>
            <w:pPr>
              <w:pStyle w:val="Compact"/>
              <w:jc w:val="left"/>
            </w:pPr>
            <w:r>
              <w:t xml:space="preserve">360.00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(RM)</w:t>
            </w:r>
          </w:p>
        </w:tc>
        <w:tc>
          <w:tcPr/>
          <w:p>
            <w:pPr>
              <w:pStyle w:val="Compact"/>
              <w:jc w:val="left"/>
            </w:pPr>
            <w:r>
              <w:t xml:space="preserve">66,400.00</w:t>
            </w:r>
          </w:p>
        </w:tc>
      </w:tr>
      <w:tr>
        <w:tc>
          <w:tcPr/>
          <w:p>
            <w:pPr>
              <w:pStyle w:val="Compact"/>
              <w:jc w:val="left"/>
            </w:pPr>
            <w:r>
              <w:t xml:space="preserve">Sales and Service Tax – 6% (RM)</w:t>
            </w:r>
          </w:p>
        </w:tc>
        <w:tc>
          <w:tcPr/>
          <w:p>
            <w:pPr>
              <w:pStyle w:val="Compact"/>
              <w:jc w:val="left"/>
            </w:pPr>
            <w:r>
              <w:t xml:space="preserve">3,984.00</w:t>
            </w:r>
          </w:p>
        </w:tc>
      </w:tr>
      <w:tr>
        <w:tc>
          <w:tcPr/>
          <w:p>
            <w:pPr>
              <w:pStyle w:val="Compact"/>
              <w:jc w:val="left"/>
            </w:pPr>
            <w:r>
              <w:t xml:space="preserve">Discount – Early Settlement (RM)</w:t>
            </w:r>
          </w:p>
        </w:tc>
        <w:tc>
          <w:tcPr/>
          <w:p>
            <w:pPr>
              <w:pStyle w:val="Compact"/>
              <w:jc w:val="left"/>
            </w:pPr>
            <w:r>
              <w:t xml:space="preserve">(0.00)</w:t>
            </w:r>
          </w:p>
        </w:tc>
      </w:tr>
      <w:tr>
        <w:tc>
          <w:tcPr/>
          <w:p>
            <w:pPr>
              <w:pStyle w:val="Compact"/>
              <w:jc w:val="left"/>
            </w:pPr>
            <w:r>
              <w:t xml:space="preserve">TOTAL AMOUNT DUE (RM)</w:t>
            </w:r>
          </w:p>
        </w:tc>
        <w:tc>
          <w:tcPr/>
          <w:p>
            <w:pPr>
              <w:pStyle w:val="Compact"/>
              <w:jc w:val="left"/>
            </w:pPr>
            <w:r>
              <w:t xml:space="preserve">70,384.00</w:t>
            </w:r>
          </w:p>
        </w:tc>
      </w:tr>
    </w:tbl>
    <w:bookmarkStart w:id="24" w:name="payment-terms-and-conditions"/>
    <w:p>
      <w:pPr>
        <w:pStyle w:val="Heading3"/>
      </w:pPr>
      <w:r>
        <w:t xml:space="preserve">Payment Terms and Conditions</w:t>
      </w:r>
    </w:p>
    <w:p>
      <w:pPr>
        <w:pStyle w:val="FirstParagraph"/>
      </w:pPr>
      <w:r>
        <w:t xml:space="preserve">This Invoice is issued by KL Financial Accountant Services Sdn. Bhd., a registered professional Accountant firm operating in Malaysia Kuala Lumpur, in accordance with the terms of the signed Professional Services Engagement Agreement dated 1 December 2024.</w:t>
      </w:r>
    </w:p>
    <w:p>
      <w:pPr>
        <w:numPr>
          <w:ilvl w:val="0"/>
          <w:numId w:val="1001"/>
        </w:numPr>
        <w:pStyle w:val="Compact"/>
      </w:pPr>
      <w:r>
        <w:t xml:space="preserve">Full payment of RM 70,384.00 (Ringgit Malaysia Seventy Thousand Three Hundred and Eighty-Four only) is due within thirty (30) days from the date of this Invoice, i.e., on or before 15 July 2025.</w:t>
      </w:r>
    </w:p>
    <w:p>
      <w:pPr>
        <w:numPr>
          <w:ilvl w:val="0"/>
          <w:numId w:val="1001"/>
        </w:numPr>
        <w:pStyle w:val="Compact"/>
      </w:pPr>
      <w:r>
        <w:t xml:space="preserve">Payment shall be made via bank transfer to the Maybank account stated above. Please reference the Invoice number INV-KL-2025-00472 in your payment remarks.</w:t>
      </w:r>
    </w:p>
    <w:p>
      <w:pPr>
        <w:numPr>
          <w:ilvl w:val="0"/>
          <w:numId w:val="1001"/>
        </w:numPr>
        <w:pStyle w:val="Compact"/>
      </w:pPr>
      <w:r>
        <w:t xml:space="preserve">A late payment penalty of 2% per month (or the maximum rate permitted under Malaysian law) shall be applied to any outstanding balance after the due date.</w:t>
      </w:r>
    </w:p>
    <w:p>
      <w:pPr>
        <w:numPr>
          <w:ilvl w:val="0"/>
          <w:numId w:val="1001"/>
        </w:numPr>
        <w:pStyle w:val="Compact"/>
      </w:pPr>
      <w:r>
        <w:t xml:space="preserve">This Invoice is subject to the Sales and Service Tax (SST) Act 2018 of Malaysia. The 6% SST rate applies to professional Accountant services as classified under the Service Tax (Amendment) Order 2018.</w:t>
      </w:r>
    </w:p>
    <w:p>
      <w:pPr>
        <w:numPr>
          <w:ilvl w:val="0"/>
          <w:numId w:val="1001"/>
        </w:numPr>
        <w:pStyle w:val="Compact"/>
      </w:pPr>
      <w:r>
        <w:t xml:space="preserve">All services rendered by our Accountant team are governed by the Malaysian Institute of Accountants (MIA) Code of Ethics and Professional Conduct.</w:t>
      </w:r>
    </w:p>
    <w:p>
      <w:pPr>
        <w:numPr>
          <w:ilvl w:val="0"/>
          <w:numId w:val="1001"/>
        </w:numPr>
        <w:pStyle w:val="Compact"/>
      </w:pPr>
      <w:r>
        <w:t xml:space="preserve">Any disputes arising from this Invoice shall be resolved through mediation in Malaysia Kuala Lumpur in accordance with the Malaysian Mediation Centre guidelines.</w:t>
      </w:r>
    </w:p>
    <w:bookmarkEnd w:id="24"/>
    <w:bookmarkStart w:id="25" w:name="additional-notes"/>
    <w:p>
      <w:pPr>
        <w:pStyle w:val="Heading3"/>
      </w:pPr>
      <w:r>
        <w:t xml:space="preserve">Additional Notes</w:t>
      </w:r>
    </w:p>
    <w:p>
      <w:pPr>
        <w:pStyle w:val="FirstParagraph"/>
      </w:pPr>
      <w:r>
        <w:t xml:space="preserve">Dear Mr. Tan Wei Ming, thank you for engaging our Accountant services for the period of January through May 2025. Our team in Malaysia Kuala Lumpur has completed all deliverables as outlined in the engagement letter. The quarterly management accounts for Q1 and Q2 2025 have been delivered on 10 April 2025 and 10 July 2025 respectively. The annual financial statements compilation is in its final review stage and will be submitted for your sign-off by 30 June 2025.</w:t>
      </w:r>
    </w:p>
    <w:p>
      <w:pPr>
        <w:pStyle w:val="BodyText"/>
      </w:pPr>
      <w:r>
        <w:t xml:space="preserve">Please note that this Invoice covers all professional Accountant services rendered during the stated period. Any additional ad-hoc requests or out-of-scope work will be invoiced separately with prior written approval. Should you require any clarification regarding the line items on this Invoice, please do not hesitate to contact our billing department at billing@klfinancialaccountant.com.my or call +603-2145 6789 during business hours (Monday to Friday, 9:00 AM to 6:00 PM, Malaysia time).</w:t>
      </w:r>
    </w:p>
    <w:p>
      <w:pPr>
        <w:pStyle w:val="BodyText"/>
      </w:pPr>
      <w:r>
        <w:t xml:space="preserve">We remain committed to providing the highest standard of Accountant professional services to our clients in Malaysia Kuala Lumpur and throughout the region. Your continued trust in our firm is greatly appreciated.</w:t>
      </w:r>
    </w:p>
    <w:bookmarkEnd w:id="25"/>
    <w:p>
      <w:pPr>
        <w:pStyle w:val="BodyText"/>
      </w:pPr>
      <w:r>
        <w:rPr>
          <w:bCs/>
          <w:b/>
        </w:rPr>
        <w:t xml:space="preserve">KL Financial Accountant Services Sdn. Bhd.</w:t>
      </w:r>
      <w:r>
        <w:t xml:space="preserve"> </w:t>
      </w:r>
      <w:r>
        <w:t xml:space="preserve">| Lot 12, Level 8, Menara Commerce, Jalan Sultan Ismail, 50250 Malaysia Kuala Lumpur</w:t>
      </w:r>
    </w:p>
    <w:p>
      <w:pPr>
        <w:pStyle w:val="BodyText"/>
      </w:pPr>
      <w:r>
        <w:t xml:space="preserve">Registered with the Companies Commission of Malaysia (SSM) | MIA Firm Registration No: MIA-F-2019-0456</w:t>
      </w:r>
    </w:p>
    <w:p>
      <w:pPr>
        <w:pStyle w:val="BodyText"/>
      </w:pPr>
      <w:r>
        <w:t xml:space="preserve">This is a computer-generated Invoice and does not require a physical signature. | Page 1 of 1</w:t>
      </w:r>
    </w:p>
    <w:p>
      <w:pPr>
        <w:pStyle w:val="BodyText"/>
      </w:pPr>
      <w:r>
        <w:t xml:space="preserve">© 2025 KL Financial Accountant Services Sdn. Bhd.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Malaysia Kuala Lumpur</dc:title>
  <dc:creator/>
  <dc:language>en</dc:language>
  <cp:keywords/>
  <dcterms:created xsi:type="dcterms:W3CDTF">2026-10-10T09:18:42Z</dcterms:created>
  <dcterms:modified xsi:type="dcterms:W3CDTF">2026-10-10T09:18:42Z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