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invoice"/>
    <w:p>
      <w:pPr>
        <w:pStyle w:val="Heading1"/>
      </w:pPr>
      <w:r>
        <w:t xml:space="preserve">INVOICE</w:t>
      </w:r>
    </w:p>
    <w:p>
      <w:pPr>
        <w:pStyle w:val="FirstParagraph"/>
      </w:pPr>
      <w:r>
        <w:t xml:space="preserve">Professional Accountant Services — Netherlands Amsterdam</w:t>
      </w:r>
    </w:p>
    <w:p>
      <w:pPr>
        <w:pStyle w:val="BodyText"/>
      </w:pPr>
      <w:r>
        <w:t xml:space="preserve">Issued in accordance with Dutch tax regulations (Belastingdienst) and EU invoicing directives</w:t>
      </w:r>
    </w:p>
    <w:bookmarkEnd w:id="20"/>
    <w:bookmarkStart w:id="21" w:name="from-accountant"/>
    <w:p>
      <w:pPr>
        <w:pStyle w:val="Heading3"/>
      </w:pPr>
      <w:r>
        <w:t xml:space="preserve">From (Accountant)</w:t>
      </w:r>
    </w:p>
    <w:p>
      <w:pPr>
        <w:pStyle w:val="FirstParagraph"/>
      </w:pPr>
      <w:r>
        <w:rPr>
          <w:bCs/>
          <w:b/>
        </w:rPr>
        <w:t xml:space="preserve">Van der Berg &amp; Partners Accountancy B.V.</w:t>
      </w:r>
    </w:p>
    <w:p>
      <w:pPr>
        <w:pStyle w:val="BodyText"/>
      </w:pPr>
      <w:r>
        <w:t xml:space="preserve">Keizersgracht 412, 3rd Floor</w:t>
      </w:r>
    </w:p>
    <w:p>
      <w:pPr>
        <w:pStyle w:val="BodyText"/>
      </w:pPr>
      <w:r>
        <w:t xml:space="preserve">1016 GC Amsterdam, Netherlands</w:t>
      </w:r>
    </w:p>
    <w:p>
      <w:pPr>
        <w:pStyle w:val="BodyText"/>
      </w:pPr>
      <w:r>
        <w:t xml:space="preserve">KvK (Chamber of Commerce): 34567890</w:t>
      </w:r>
    </w:p>
    <w:p>
      <w:pPr>
        <w:pStyle w:val="BodyText"/>
      </w:pPr>
      <w:r>
        <w:t xml:space="preserve">VAT Number (BTW): NL854321987B01</w:t>
      </w:r>
    </w:p>
    <w:p>
      <w:pPr>
        <w:pStyle w:val="BodyText"/>
      </w:pPr>
      <w:r>
        <w:t xml:space="preserve">IBAN: NL91 ABNA 0417 1643 00</w:t>
      </w:r>
    </w:p>
    <w:p>
      <w:pPr>
        <w:pStyle w:val="BodyText"/>
      </w:pPr>
      <w:r>
        <w:t xml:space="preserve">BIC/SWIFT: ABNANL2A</w:t>
      </w:r>
    </w:p>
    <w:p>
      <w:pPr>
        <w:pStyle w:val="BodyText"/>
      </w:pPr>
      <w:r>
        <w:t xml:space="preserve">Phone: +31 20 555 0142</w:t>
      </w:r>
    </w:p>
    <w:p>
      <w:pPr>
        <w:pStyle w:val="BodyText"/>
      </w:pPr>
      <w:r>
        <w:t xml:space="preserve">Email: billing@vandenberg-partners.nl</w:t>
      </w:r>
    </w:p>
    <w:bookmarkEnd w:id="21"/>
    <w:bookmarkStart w:id="22" w:name="to-client"/>
    <w:p>
      <w:pPr>
        <w:pStyle w:val="Heading3"/>
      </w:pPr>
      <w:r>
        <w:t xml:space="preserve">To (Client)</w:t>
      </w:r>
    </w:p>
    <w:p>
      <w:pPr>
        <w:pStyle w:val="FirstParagraph"/>
      </w:pPr>
      <w:r>
        <w:rPr>
          <w:bCs/>
          <w:b/>
        </w:rPr>
        <w:t xml:space="preserve">De Vries Trading &amp; Logistics B.V.</w:t>
      </w:r>
    </w:p>
    <w:p>
      <w:pPr>
        <w:pStyle w:val="BodyText"/>
      </w:pPr>
      <w:r>
        <w:t xml:space="preserve">Herengracht 287</w:t>
      </w:r>
    </w:p>
    <w:p>
      <w:pPr>
        <w:pStyle w:val="BodyText"/>
      </w:pPr>
      <w:r>
        <w:t xml:space="preserve">1017 AP Amsterdam, Netherlands</w:t>
      </w:r>
    </w:p>
    <w:p>
      <w:pPr>
        <w:pStyle w:val="BodyText"/>
      </w:pPr>
      <w:r>
        <w:t xml:space="preserve">KvK: 29876543</w:t>
      </w:r>
    </w:p>
    <w:p>
      <w:pPr>
        <w:pStyle w:val="BodyText"/>
      </w:pPr>
      <w:r>
        <w:t xml:space="preserve">VAT Number: NL861234567B01</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 (30 days)</w:t>
      </w:r>
    </w:p>
    <w:p>
      <w:pPr>
        <w:pStyle w:val="BodyText"/>
      </w:pPr>
      <w:r>
        <w:rPr>
          <w:bCs/>
          <w:b/>
        </w:rPr>
        <w:t xml:space="preserve">Reference:</w:t>
      </w:r>
      <w:r>
        <w:t xml:space="preserve"> </w:t>
      </w:r>
      <w:r>
        <w:t xml:space="preserve">Q2-2025-ADL</w:t>
      </w:r>
    </w:p>
    <w:p>
      <w:pPr>
        <w:pStyle w:val="BodyText"/>
      </w:pPr>
      <w:r>
        <w:rPr>
          <w:bCs/>
          <w:b/>
        </w:rPr>
        <w:t xml:space="preserve">Service Period:</w:t>
      </w:r>
      <w:r>
        <w:t xml:space="preserve"> </w:t>
      </w:r>
      <w:r>
        <w:t xml:space="preserve">1 April 2025 – 30 June 2025</w:t>
      </w:r>
    </w:p>
    <w:bookmarkEnd w:id="23"/>
    <w:bookmarkStart w:id="25" w:name="X0bda37219dab9908a5786306996d1b1cd4c62c2"/>
    <w:p>
      <w:pPr>
        <w:pStyle w:val="Heading2"/>
      </w:pPr>
      <w:r>
        <w:t xml:space="preserve">Description of Accountant Services Rendered</w:t>
      </w:r>
    </w:p>
    <w:p>
      <w:pPr>
        <w:pStyle w:val="FirstParagraph"/>
      </w:pPr>
      <w:r>
        <w:t xml:space="preserve">The following line items detail the professional accountant services provided by Van der Berg &amp; Partners Accountancy B.V. to De Vries Trading &amp; Logistics B.V. during the second quarter of 2025. All services were performed in compliance with the Dutch Civil Code (Burgerlijk Wetboek), the Dutch Tax Administration (Belastingdienst) requirements, and the International Financial Reporting Standards (IFRS) as applicable in the Netherlands Amsterdam business district.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Subtotal (EUR)</w:t>
            </w:r>
          </w:p>
        </w:tc>
        <w:tc>
          <w:tcPr/>
          <w:p>
            <w:pPr>
              <w:pStyle w:val="Compact"/>
              <w:jc w:val="left"/>
            </w:pPr>
            <w:r>
              <w:t xml:space="preserve">VAT 21% (EUR)</w:t>
            </w:r>
          </w:p>
        </w:tc>
      </w:tr>
      <w:tr>
        <w:tc>
          <w:tcPr/>
          <w:p>
            <w:pPr>
              <w:pStyle w:val="Compact"/>
              <w:jc w:val="left"/>
            </w:pPr>
            <w:r>
              <w:t xml:space="preserve">1</w:t>
            </w:r>
          </w:p>
        </w:tc>
        <w:tc>
          <w:tcPr/>
          <w:p>
            <w:pPr>
              <w:pStyle w:val="Compact"/>
              <w:jc w:val="left"/>
            </w:pPr>
            <w:r>
              <w:t xml:space="preserve">Quarterly financial statement preparation and review for Q2 2025, including balance sheet, income statement, and cash flow statement in accordance with Dutch GAAP (Nederlandse GAAP)</w:t>
            </w:r>
          </w:p>
        </w:tc>
        <w:tc>
          <w:tcPr/>
          <w:p>
            <w:pPr>
              <w:pStyle w:val="Compact"/>
              <w:jc w:val="left"/>
            </w:pPr>
            <w:r>
              <w:t xml:space="preserve">24.5</w:t>
            </w:r>
          </w:p>
        </w:tc>
        <w:tc>
          <w:tcPr/>
          <w:p>
            <w:pPr>
              <w:pStyle w:val="Compact"/>
              <w:jc w:val="left"/>
            </w:pPr>
            <w:r>
              <w:t xml:space="preserve">115.00</w:t>
            </w:r>
          </w:p>
        </w:tc>
        <w:tc>
          <w:tcPr/>
          <w:p>
            <w:pPr>
              <w:pStyle w:val="Compact"/>
              <w:jc w:val="left"/>
            </w:pPr>
            <w:r>
              <w:t xml:space="preserve">2,817.50</w:t>
            </w:r>
          </w:p>
        </w:tc>
        <w:tc>
          <w:tcPr/>
          <w:p>
            <w:pPr>
              <w:pStyle w:val="Compact"/>
              <w:jc w:val="left"/>
            </w:pPr>
            <w:r>
              <w:t xml:space="preserve">591.68</w:t>
            </w:r>
          </w:p>
        </w:tc>
      </w:tr>
      <w:tr>
        <w:tc>
          <w:tcPr/>
          <w:p>
            <w:pPr>
              <w:pStyle w:val="Compact"/>
              <w:jc w:val="left"/>
            </w:pPr>
            <w:r>
              <w:t xml:space="preserve">2</w:t>
            </w:r>
          </w:p>
        </w:tc>
        <w:tc>
          <w:tcPr/>
          <w:p>
            <w:pPr>
              <w:pStyle w:val="Compact"/>
              <w:jc w:val="left"/>
            </w:pPr>
            <w:r>
              <w:t xml:space="preserve">Monthly bookkeeping and ledger reconciliation for April, May, and June 2025, encompassing accounts payable, accounts receivable, bank reconciliations, and fixed asset register updates</w:t>
            </w:r>
          </w:p>
        </w:tc>
        <w:tc>
          <w:tcPr/>
          <w:p>
            <w:pPr>
              <w:pStyle w:val="Compact"/>
              <w:jc w:val="left"/>
            </w:pPr>
            <w:r>
              <w:t xml:space="preserve">36.0</w:t>
            </w:r>
          </w:p>
        </w:tc>
        <w:tc>
          <w:tcPr/>
          <w:p>
            <w:pPr>
              <w:pStyle w:val="Compact"/>
              <w:jc w:val="left"/>
            </w:pPr>
            <w:r>
              <w:t xml:space="preserve">95.00</w:t>
            </w:r>
          </w:p>
        </w:tc>
        <w:tc>
          <w:tcPr/>
          <w:p>
            <w:pPr>
              <w:pStyle w:val="Compact"/>
              <w:jc w:val="left"/>
            </w:pPr>
            <w:r>
              <w:t xml:space="preserve">3,420.00</w:t>
            </w:r>
          </w:p>
        </w:tc>
        <w:tc>
          <w:tcPr/>
          <w:p>
            <w:pPr>
              <w:pStyle w:val="Compact"/>
              <w:jc w:val="left"/>
            </w:pPr>
            <w:r>
              <w:t xml:space="preserve">718.20</w:t>
            </w:r>
          </w:p>
        </w:tc>
      </w:tr>
      <w:tr>
        <w:tc>
          <w:tcPr/>
          <w:p>
            <w:pPr>
              <w:pStyle w:val="Compact"/>
              <w:jc w:val="left"/>
            </w:pPr>
            <w:r>
              <w:t xml:space="preserve">3</w:t>
            </w:r>
          </w:p>
        </w:tc>
        <w:tc>
          <w:tcPr/>
          <w:p>
            <w:pPr>
              <w:pStyle w:val="Compact"/>
              <w:jc w:val="left"/>
            </w:pPr>
            <w:r>
              <w:t xml:space="preserve">VAT (BTW) return preparation and submission to the Belastingdienst for the second quarter, including intrastat declarations for cross-border transactions within the European Union</w:t>
            </w:r>
          </w:p>
        </w:tc>
        <w:tc>
          <w:tcPr/>
          <w:p>
            <w:pPr>
              <w:pStyle w:val="Compact"/>
              <w:jc w:val="left"/>
            </w:pPr>
            <w:r>
              <w:t xml:space="preserve">12.0</w:t>
            </w:r>
          </w:p>
        </w:tc>
        <w:tc>
          <w:tcPr/>
          <w:p>
            <w:pPr>
              <w:pStyle w:val="Compact"/>
              <w:jc w:val="left"/>
            </w:pPr>
            <w:r>
              <w:t xml:space="preserve">110.00</w:t>
            </w:r>
          </w:p>
        </w:tc>
        <w:tc>
          <w:tcPr/>
          <w:p>
            <w:pPr>
              <w:pStyle w:val="Compact"/>
              <w:jc w:val="left"/>
            </w:pPr>
            <w:r>
              <w:t xml:space="preserve">1,320.00</w:t>
            </w:r>
          </w:p>
        </w:tc>
        <w:tc>
          <w:tcPr/>
          <w:p>
            <w:pPr>
              <w:pStyle w:val="Compact"/>
              <w:jc w:val="left"/>
            </w:pPr>
            <w:r>
              <w:t xml:space="preserve">277.20</w:t>
            </w:r>
          </w:p>
        </w:tc>
      </w:tr>
      <w:tr>
        <w:tc>
          <w:tcPr/>
          <w:p>
            <w:pPr>
              <w:pStyle w:val="Compact"/>
              <w:jc w:val="left"/>
            </w:pPr>
            <w:r>
              <w:t xml:space="preserve">4</w:t>
            </w:r>
          </w:p>
        </w:tc>
        <w:tc>
          <w:tcPr/>
          <w:p>
            <w:pPr>
              <w:pStyle w:val="Compact"/>
              <w:jc w:val="left"/>
            </w:pPr>
            <w:r>
              <w:t xml:space="preserve">Payroll tax (loonheffing) compliance review and advisory for 14 employees, including wage tax calculations, social security contributions, and P90A/P90B filings</w:t>
            </w:r>
          </w:p>
        </w:tc>
        <w:tc>
          <w:tcPr/>
          <w:p>
            <w:pPr>
              <w:pStyle w:val="Compact"/>
              <w:jc w:val="left"/>
            </w:pPr>
            <w:r>
              <w:t xml:space="preserve">18.5</w:t>
            </w:r>
          </w:p>
        </w:tc>
        <w:tc>
          <w:tcPr/>
          <w:p>
            <w:pPr>
              <w:pStyle w:val="Compact"/>
              <w:jc w:val="left"/>
            </w:pPr>
            <w:r>
              <w:t xml:space="preserve">105.00</w:t>
            </w:r>
          </w:p>
        </w:tc>
        <w:tc>
          <w:tcPr/>
          <w:p>
            <w:pPr>
              <w:pStyle w:val="Compact"/>
              <w:jc w:val="left"/>
            </w:pPr>
            <w:r>
              <w:t xml:space="preserve">1,942.50</w:t>
            </w:r>
          </w:p>
        </w:tc>
        <w:tc>
          <w:tcPr/>
          <w:p>
            <w:pPr>
              <w:pStyle w:val="Compact"/>
              <w:jc w:val="left"/>
            </w:pPr>
            <w:r>
              <w:t xml:space="preserve">407.93</w:t>
            </w:r>
          </w:p>
        </w:tc>
      </w:tr>
      <w:tr>
        <w:tc>
          <w:tcPr/>
          <w:p>
            <w:pPr>
              <w:pStyle w:val="Compact"/>
              <w:jc w:val="left"/>
            </w:pPr>
            <w:r>
              <w:t xml:space="preserve">5</w:t>
            </w:r>
          </w:p>
        </w:tc>
        <w:tc>
          <w:tcPr/>
          <w:p>
            <w:pPr>
              <w:pStyle w:val="Compact"/>
              <w:jc w:val="left"/>
            </w:pPr>
            <w:r>
              <w:t xml:space="preserve">Annual corporate income tax (vennootschapsbelasting) pre-assessment and tax planning advisory session held at our Amsterdam office on 28 May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c>
          <w:tcPr/>
          <w:p>
            <w:pPr>
              <w:pStyle w:val="Compact"/>
              <w:jc w:val="left"/>
            </w:pPr>
            <w:r>
              <w:t xml:space="preserve">243.60</w:t>
            </w:r>
          </w:p>
        </w:tc>
      </w:tr>
      <w:tr>
        <w:tc>
          <w:tcPr/>
          <w:p>
            <w:pPr>
              <w:pStyle w:val="Compact"/>
              <w:jc w:val="left"/>
            </w:pPr>
            <w:r>
              <w:t xml:space="preserve">6</w:t>
            </w:r>
          </w:p>
        </w:tc>
        <w:tc>
          <w:tcPr/>
          <w:p>
            <w:pPr>
              <w:pStyle w:val="Compact"/>
              <w:jc w:val="left"/>
            </w:pPr>
            <w:r>
              <w:t xml:space="preserve">Statutory audit support and preparation of audit trail documentation for the upcoming annual audit by the independent audit firm, including management letter responses</w:t>
            </w:r>
          </w:p>
        </w:tc>
        <w:tc>
          <w:tcPr/>
          <w:p>
            <w:pPr>
              <w:pStyle w:val="Compact"/>
              <w:jc w:val="left"/>
            </w:pPr>
            <w:r>
              <w:t xml:space="preserve">16.0</w:t>
            </w:r>
          </w:p>
        </w:tc>
        <w:tc>
          <w:tcPr/>
          <w:p>
            <w:pPr>
              <w:pStyle w:val="Compact"/>
              <w:jc w:val="left"/>
            </w:pPr>
            <w:r>
              <w:t xml:space="preserve">120.00</w:t>
            </w:r>
          </w:p>
        </w:tc>
        <w:tc>
          <w:tcPr/>
          <w:p>
            <w:pPr>
              <w:pStyle w:val="Compact"/>
              <w:jc w:val="left"/>
            </w:pPr>
            <w:r>
              <w:t xml:space="preserve">1,920.00</w:t>
            </w:r>
          </w:p>
        </w:tc>
        <w:tc>
          <w:tcPr/>
          <w:p>
            <w:pPr>
              <w:pStyle w:val="Compact"/>
              <w:jc w:val="left"/>
            </w:pPr>
            <w:r>
              <w:t xml:space="preserve">403.20</w:t>
            </w:r>
          </w:p>
        </w:tc>
      </w:tr>
      <w:tr>
        <w:tc>
          <w:tcPr/>
          <w:p>
            <w:pPr>
              <w:pStyle w:val="Compact"/>
              <w:jc w:val="left"/>
            </w:pPr>
            <w:r>
              <w:t xml:space="preserve">7</w:t>
            </w:r>
          </w:p>
        </w:tc>
        <w:tc>
          <w:tcPr/>
          <w:p>
            <w:pPr>
              <w:pStyle w:val="Compact"/>
              <w:jc w:val="left"/>
            </w:pPr>
            <w:r>
              <w:t xml:space="preserve">Advisory on Dutch corporate governance, compliance with the Dutch Companies Act (Wetboek van Koepelrecht), and preparation of the annual report for the General Meeting of Shareholders</w:t>
            </w:r>
          </w:p>
        </w:tc>
        <w:tc>
          <w:tcPr/>
          <w:p>
            <w:pPr>
              <w:pStyle w:val="Compact"/>
              <w:jc w:val="left"/>
            </w:pPr>
            <w:r>
              <w:t xml:space="preserve">10.0</w:t>
            </w:r>
          </w:p>
        </w:tc>
        <w:tc>
          <w:tcPr/>
          <w:p>
            <w:pPr>
              <w:pStyle w:val="Compact"/>
              <w:jc w:val="left"/>
            </w:pPr>
            <w:r>
              <w:t xml:space="preserve">135.00</w:t>
            </w:r>
          </w:p>
        </w:tc>
        <w:tc>
          <w:tcPr/>
          <w:p>
            <w:pPr>
              <w:pStyle w:val="Compact"/>
              <w:jc w:val="left"/>
            </w:pPr>
            <w:r>
              <w:t xml:space="preserve">1,350.00</w:t>
            </w:r>
          </w:p>
        </w:tc>
        <w:tc>
          <w:tcPr/>
          <w:p>
            <w:pPr>
              <w:pStyle w:val="Compact"/>
              <w:jc w:val="left"/>
            </w:pPr>
            <w:r>
              <w:t xml:space="preserve">283.50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(EUR)</w:t>
            </w:r>
          </w:p>
        </w:tc>
      </w:tr>
      <w:tr>
        <w:tc>
          <w:tcPr/>
          <w:p>
            <w:pPr>
              <w:pStyle w:val="Compact"/>
              <w:jc w:val="left"/>
            </w:pPr>
            <w:r>
              <w:t xml:space="preserve">Subtotal (excl. VAT)</w:t>
            </w:r>
          </w:p>
        </w:tc>
        <w:tc>
          <w:tcPr/>
          <w:p>
            <w:pPr>
              <w:pStyle w:val="Compact"/>
              <w:jc w:val="left"/>
            </w:pPr>
            <w:r>
              <w:t xml:space="preserve">13,930.00</w:t>
            </w:r>
          </w:p>
        </w:tc>
      </w:tr>
      <w:tr>
        <w:tc>
          <w:tcPr/>
          <w:p>
            <w:pPr>
              <w:pStyle w:val="Compact"/>
              <w:jc w:val="left"/>
            </w:pPr>
            <w:r>
              <w:t xml:space="preserve">VAT @ 21% (BTW)</w:t>
            </w:r>
          </w:p>
        </w:tc>
        <w:tc>
          <w:tcPr/>
          <w:p>
            <w:pPr>
              <w:pStyle w:val="Compact"/>
              <w:jc w:val="left"/>
            </w:pPr>
            <w:r>
              <w:t xml:space="preserve">2,925.30</w:t>
            </w:r>
          </w:p>
        </w:tc>
      </w:tr>
      <w:tr>
        <w:tc>
          <w:tcPr/>
          <w:p>
            <w:pPr>
              <w:pStyle w:val="Compact"/>
              <w:jc w:val="left"/>
            </w:pPr>
            <w:r>
              <w:t xml:space="preserve">Grand Total (incl. VAT)</w:t>
            </w:r>
          </w:p>
        </w:tc>
        <w:tc>
          <w:tcPr/>
          <w:p>
            <w:pPr>
              <w:pStyle w:val="Compact"/>
              <w:jc w:val="left"/>
            </w:pPr>
            <w:r>
              <w:t xml:space="preserve">16,855.30</w:t>
            </w:r>
          </w:p>
        </w:tc>
      </w:tr>
    </w:tbl>
    <w:bookmarkStart w:id="24" w:name="payment-terms-and-important-notes"/>
    <w:p>
      <w:pPr>
        <w:pStyle w:val="Heading3"/>
      </w:pPr>
      <w:r>
        <w:t xml:space="preserve">Payment Terms and Important Notes</w:t>
      </w:r>
    </w:p>
    <w:p>
      <w:pPr>
        <w:numPr>
          <w:ilvl w:val="0"/>
          <w:numId w:val="1001"/>
        </w:numPr>
        <w:pStyle w:val="Compact"/>
      </w:pPr>
      <w:r>
        <w:rPr>
          <w:bCs/>
          <w:b/>
        </w:rPr>
        <w:t xml:space="preserve">Payment Method:</w:t>
      </w:r>
      <w:r>
        <w:t xml:space="preserve"> </w:t>
      </w:r>
      <w:r>
        <w:t xml:space="preserve">Please settle the total amount of €16,855.30 via bank transfer (SEPA) to IBAN NL91 ABNA 0417 1643 00, BIC ABNANL2A. Reference: INV-2025-00487.</w:t>
      </w:r>
    </w:p>
    <w:p>
      <w:pPr>
        <w:numPr>
          <w:ilvl w:val="0"/>
          <w:numId w:val="1001"/>
        </w:numPr>
        <w:pStyle w:val="Compact"/>
      </w:pPr>
      <w:r>
        <w:rPr>
          <w:bCs/>
          <w:b/>
        </w:rPr>
        <w:t xml:space="preserve">Due Date:</w:t>
      </w:r>
      <w:r>
        <w:t xml:space="preserve"> </w:t>
      </w:r>
      <w:r>
        <w:t xml:space="preserve">This invoice is payable within 30 calendar days from the invoice date, i.e., no later than 15 July 2025. Late payments are subject to statutory interest at the rate determined by the Dutch Central Bank (De Nederlandsche Bank) plus a 15% surcharge as per Article 6:119a of the Dutch Civil Code.</w:t>
      </w:r>
    </w:p>
    <w:p>
      <w:pPr>
        <w:numPr>
          <w:ilvl w:val="0"/>
          <w:numId w:val="1001"/>
        </w:numPr>
        <w:pStyle w:val="Compact"/>
      </w:pPr>
      <w:r>
        <w:rPr>
          <w:bCs/>
          <w:b/>
        </w:rPr>
        <w:t xml:space="preserve">VAT Notice:</w:t>
      </w:r>
      <w:r>
        <w:t xml:space="preserve"> </w:t>
      </w:r>
      <w:r>
        <w:t xml:space="preserve">The VAT (BTW) of 21% applied on this invoice is in accordance with the Dutch General Taxation Act (Algemene Wet omroepbelasting). As both parties are registered VAT entities in the Netherlands, the reverse charge mechanism does not apply. The VAT number NL854321987B01 is registered with the Belastingdienst.</w:t>
      </w:r>
    </w:p>
    <w:p>
      <w:pPr>
        <w:numPr>
          <w:ilvl w:val="0"/>
          <w:numId w:val="1001"/>
        </w:numPr>
        <w:pStyle w:val="Compact"/>
      </w:pPr>
      <w:r>
        <w:rPr>
          <w:bCs/>
          <w:b/>
        </w:rPr>
        <w:t xml:space="preserve">Dispute Resolution:</w:t>
      </w:r>
      <w:r>
        <w:t xml:space="preserve"> </w:t>
      </w:r>
      <w:r>
        <w:t xml:space="preserve">Any disputes arising from this invoice or the accountant services rendered shall be resolved in accordance with the laws of the Netherlands. The competent court is the District Court of Amsterdam (Rechtbank Amsterdam), located in the Netherlands Amsterdam judicial district.</w:t>
      </w:r>
    </w:p>
    <w:p>
      <w:pPr>
        <w:numPr>
          <w:ilvl w:val="0"/>
          <w:numId w:val="1001"/>
        </w:numPr>
        <w:pStyle w:val="Compact"/>
      </w:pPr>
      <w:r>
        <w:rPr>
          <w:bCs/>
          <w:b/>
        </w:rPr>
        <w:t xml:space="preserve">Confidentiality:</w:t>
      </w:r>
      <w:r>
        <w:t xml:space="preserve"> </w:t>
      </w:r>
      <w:r>
        <w:t xml:space="preserve">All financial data, tax filings, and business records handled by this accountant firm are subject to strict professional confidentiality as mandated by the Dutch Accountants Act (Wet op het accountantsberoep) and the professional code of conduct of the NBA (Nederlands Instituut van Registeraccountants).</w:t>
      </w:r>
    </w:p>
    <w:p>
      <w:pPr>
        <w:numPr>
          <w:ilvl w:val="0"/>
          <w:numId w:val="1001"/>
        </w:numPr>
        <w:pStyle w:val="Compact"/>
      </w:pPr>
      <w:r>
        <w:rPr>
          <w:bCs/>
          <w:b/>
        </w:rPr>
        <w:t xml:space="preserve">Document Retention:</w:t>
      </w:r>
      <w:r>
        <w:t xml:space="preserve"> </w:t>
      </w:r>
      <w:r>
        <w:t xml:space="preserve">In compliance with Dutch tax law, this invoice and all supporting documentation must be retained by both parties for a minimum of seven (7) years from the end of the fiscal year to which they relate.</w:t>
      </w:r>
    </w:p>
    <w:bookmarkEnd w:id="24"/>
    <w:p>
      <w:pPr>
        <w:pStyle w:val="FirstParagraph"/>
      </w:pPr>
      <w:r>
        <w:rPr>
          <w:bCs/>
          <w:b/>
        </w:rPr>
        <w:t xml:space="preserve">Van der Berg &amp; Partners Accountancy B.V.</w:t>
      </w:r>
      <w:r>
        <w:t xml:space="preserve"> </w:t>
      </w:r>
      <w:r>
        <w:t xml:space="preserve">— Registered Accountant Firm — Netherlands Amsterdam</w:t>
      </w:r>
    </w:p>
    <w:p>
      <w:pPr>
        <w:pStyle w:val="BodyText"/>
      </w:pPr>
      <w:r>
        <w:t xml:space="preserve">KvK 34567890 | BTW NL854321987B01 | Keizersgracht 412, 1016 GC Amsterdam, The Netherlands</w:t>
      </w:r>
    </w:p>
    <w:p>
      <w:pPr>
        <w:pStyle w:val="BodyText"/>
      </w:pPr>
      <w:r>
        <w:t xml:space="preserve">This invoice was generated electronically and is valid without a physical signature in accordance with Article 286 of the Dutch General Taxation Act.</w:t>
      </w:r>
    </w:p>
    <w:p>
      <w:pPr>
        <w:pStyle w:val="BodyText"/>
      </w:pPr>
      <w:r>
        <w:t xml:space="preserve">© 2025 Van der Berg &amp; Partners Accountancy B.V. All rights reserved. Invoice INV-2025-00487.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Netherlands Amsterdam</dc:title>
  <dc:creator/>
  <dc:language>en</dc:language>
  <cp:keywords/>
  <dcterms:created xsi:type="dcterms:W3CDTF">2026-10-10T08:32:47Z</dcterms:created>
  <dcterms:modified xsi:type="dcterms:W3CDTF">2026-10-10T08:32:47Z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