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Accountant</w:t>
      </w:r>
      <w:r>
        <w:t xml:space="preserve"> </w:t>
      </w:r>
      <w:r>
        <w:t xml:space="preserve">Services</w:t>
      </w:r>
      <w:r>
        <w:t xml:space="preserve"> </w:t>
      </w:r>
      <w:r>
        <w:t xml:space="preserve">-</w:t>
      </w:r>
      <w:r>
        <w:t xml:space="preserve"> </w:t>
      </w:r>
      <w:r>
        <w:t xml:space="preserve">Pakistan</w:t>
      </w:r>
      <w:r>
        <w:t xml:space="preserve"> </w:t>
      </w:r>
      <w:r>
        <w:t xml:space="preserve">Islamabad</w:t>
      </w:r>
    </w:p>
    <w:bookmarkStart w:id="20" w:name="al-madina-accounting-financial-services"/>
    <w:p>
      <w:pPr>
        <w:pStyle w:val="Heading1"/>
      </w:pPr>
      <w:r>
        <w:t xml:space="preserve">Al-Madina Accounting &amp; Financial Services</w:t>
      </w:r>
    </w:p>
    <w:p>
      <w:pPr>
        <w:pStyle w:val="FirstParagraph"/>
      </w:pPr>
      <w:r>
        <w:t xml:space="preserve">Plot 45-B, Blue Area, Jinnah Avenue</w:t>
      </w:r>
    </w:p>
    <w:p>
      <w:pPr>
        <w:pStyle w:val="BodyText"/>
      </w:pPr>
      <w:r>
        <w:t xml:space="preserve">Pakistan Islamabad, 44000</w:t>
      </w:r>
    </w:p>
    <w:p>
      <w:pPr>
        <w:pStyle w:val="BodyText"/>
      </w:pPr>
      <w:r>
        <w:t xml:space="preserve">Phone: +92-51-227-4567 | Email: billing@almadina-acc.pk</w:t>
      </w:r>
    </w:p>
    <w:p>
      <w:pPr>
        <w:pStyle w:val="BodyText"/>
      </w:pPr>
      <w:r>
        <w:t xml:space="preserve">NTN: 1234567-8 | FBR Registration: 00123456789012</w:t>
      </w:r>
    </w:p>
    <w:bookmarkEnd w:id="20"/>
    <w:bookmarkStart w:id="21" w:name="invoice"/>
    <w:p>
      <w:pPr>
        <w:pStyle w:val="Heading2"/>
      </w:pPr>
      <w:r>
        <w:t xml:space="preserve">INVOICE</w:t>
      </w:r>
    </w:p>
    <w:p>
      <w:pPr>
        <w:pStyle w:val="FirstParagraph"/>
      </w:pPr>
      <w:r>
        <w:t xml:space="preserve">Invoice No: AMS/2025/00472</w:t>
      </w:r>
    </w:p>
    <w:p>
      <w:pPr>
        <w:pStyle w:val="BodyText"/>
      </w:pPr>
      <w:r>
        <w:t xml:space="preserve">Date: 15 June 2025</w:t>
      </w:r>
    </w:p>
    <w:p>
      <w:pPr>
        <w:pStyle w:val="BodyText"/>
      </w:pPr>
      <w:r>
        <w:t xml:space="preserve">Due Date: 30 June 2025</w:t>
      </w:r>
    </w:p>
    <w:p>
      <w:pPr>
        <w:pStyle w:val="BodyText"/>
      </w:pPr>
      <w:r>
        <w:t xml:space="preserve">PENDING PAYMENT</w:t>
      </w:r>
    </w:p>
    <w:bookmarkEnd w:id="21"/>
    <w:bookmarkStart w:id="22" w:name="billed-to"/>
    <w:p>
      <w:pPr>
        <w:pStyle w:val="Heading3"/>
      </w:pPr>
      <w:r>
        <w:t xml:space="preserve">Billed To</w:t>
      </w:r>
    </w:p>
    <w:p>
      <w:pPr>
        <w:pStyle w:val="FirstParagraph"/>
      </w:pPr>
      <w:r>
        <w:rPr>
          <w:bCs/>
          <w:b/>
        </w:rPr>
        <w:t xml:space="preserve">Chaudhry Textiles (Pvt.) Ltd.</w:t>
      </w:r>
    </w:p>
    <w:p>
      <w:pPr>
        <w:pStyle w:val="BodyText"/>
      </w:pPr>
      <w:r>
        <w:t xml:space="preserve">Office 12, 3rd Floor, F-8 Markaz</w:t>
      </w:r>
    </w:p>
    <w:p>
      <w:pPr>
        <w:pStyle w:val="BodyText"/>
      </w:pPr>
      <w:r>
        <w:t xml:space="preserve">Pakistan Islamabad, 44000</w:t>
      </w:r>
    </w:p>
    <w:p>
      <w:pPr>
        <w:pStyle w:val="BodyText"/>
      </w:pPr>
      <w:r>
        <w:t xml:space="preserve">NTN: 9876543-2</w:t>
      </w:r>
    </w:p>
    <w:p>
      <w:pPr>
        <w:pStyle w:val="BodyText"/>
      </w:pPr>
      <w:r>
        <w:t xml:space="preserve">Contact: Mr. Ahmed Chaudhry</w:t>
      </w:r>
    </w:p>
    <w:bookmarkEnd w:id="22"/>
    <w:bookmarkStart w:id="23" w:name="prepared-by"/>
    <w:p>
      <w:pPr>
        <w:pStyle w:val="Heading3"/>
      </w:pPr>
      <w:r>
        <w:t xml:space="preserve">Prepared By</w:t>
      </w:r>
    </w:p>
    <w:p>
      <w:pPr>
        <w:pStyle w:val="FirstParagraph"/>
      </w:pPr>
      <w:r>
        <w:rPr>
          <w:bCs/>
          <w:b/>
        </w:rPr>
        <w:t xml:space="preserve">Accountant: Ms. Fatima Khan, ACCA</w:t>
      </w:r>
    </w:p>
    <w:p>
      <w:pPr>
        <w:pStyle w:val="BodyText"/>
      </w:pPr>
      <w:r>
        <w:t xml:space="preserve">Senior Accountant &amp; Tax Consultant</w:t>
      </w:r>
    </w:p>
    <w:p>
      <w:pPr>
        <w:pStyle w:val="BodyText"/>
      </w:pPr>
      <w:r>
        <w:t xml:space="preserve">Al-Madina Accounting &amp; Financial Services</w:t>
      </w:r>
    </w:p>
    <w:p>
      <w:pPr>
        <w:pStyle w:val="BodyText"/>
      </w:pPr>
      <w:r>
        <w:t xml:space="preserve">Pakistan Islamabad</w:t>
      </w:r>
    </w:p>
    <w:p>
      <w:pPr>
        <w:pStyle w:val="BodyText"/>
      </w:pPr>
      <w:r>
        <w:t xml:space="preserve">License No: ICAP/2019/00342</w:t>
      </w:r>
    </w:p>
    <w:bookmarkEnd w:id="23"/>
    <w:bookmarkStart w:id="24" w:name="payment-details"/>
    <w:p>
      <w:pPr>
        <w:pStyle w:val="Heading3"/>
      </w:pPr>
      <w:r>
        <w:t xml:space="preserve">Payment Details</w:t>
      </w:r>
    </w:p>
    <w:p>
      <w:pPr>
        <w:pStyle w:val="FirstParagraph"/>
      </w:pPr>
      <w:r>
        <w:t xml:space="preserve">Bank: HBL, Blue Area Branch</w:t>
      </w:r>
    </w:p>
    <w:p>
      <w:pPr>
        <w:pStyle w:val="BodyText"/>
      </w:pPr>
      <w:r>
        <w:t xml:space="preserve">Account Title: Al-Madina Accounting</w:t>
      </w:r>
    </w:p>
    <w:p>
      <w:pPr>
        <w:pStyle w:val="BodyText"/>
      </w:pPr>
      <w:r>
        <w:t xml:space="preserve">IBAN: PK00HABB0000123456789012</w:t>
      </w:r>
    </w:p>
    <w:p>
      <w:pPr>
        <w:pStyle w:val="BodyText"/>
      </w:pPr>
      <w:r>
        <w:t xml:space="preserve">SWIFT: HABBPKKAXXX</w:t>
      </w:r>
    </w:p>
    <w:bookmarkEnd w:id="24"/>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Accountant Services</w:t>
            </w:r>
          </w:p>
        </w:tc>
        <w:tc>
          <w:tcPr/>
          <w:p>
            <w:pPr>
              <w:pStyle w:val="Compact"/>
              <w:jc w:val="left"/>
            </w:pPr>
            <w:r>
              <w:t xml:space="preserve">Service Period</w:t>
            </w:r>
          </w:p>
        </w:tc>
        <w:tc>
          <w:tcPr/>
          <w:p>
            <w:pPr>
              <w:pStyle w:val="Compact"/>
              <w:jc w:val="left"/>
            </w:pPr>
            <w:r>
              <w:t xml:space="preserve">Qty</w:t>
            </w:r>
          </w:p>
        </w:tc>
        <w:tc>
          <w:tcPr/>
          <w:p>
            <w:pPr>
              <w:pStyle w:val="Compact"/>
              <w:jc w:val="left"/>
            </w:pPr>
            <w:r>
              <w:t xml:space="preserve">Rate (PKR)</w:t>
            </w:r>
          </w:p>
        </w:tc>
        <w:tc>
          <w:tcPr/>
          <w:p>
            <w:pPr>
              <w:pStyle w:val="Compact"/>
              <w:jc w:val="left"/>
            </w:pPr>
            <w:r>
              <w:t xml:space="preserve">Amount (PKR)</w:t>
            </w:r>
          </w:p>
        </w:tc>
      </w:tr>
      <w:tr>
        <w:tc>
          <w:tcPr/>
          <w:p>
            <w:pPr>
              <w:pStyle w:val="Compact"/>
              <w:jc w:val="left"/>
            </w:pPr>
            <w:r>
              <w:t xml:space="preserve">1</w:t>
            </w:r>
          </w:p>
        </w:tc>
        <w:tc>
          <w:tcPr/>
          <w:p>
            <w:pPr>
              <w:pStyle w:val="Compact"/>
              <w:jc w:val="left"/>
            </w:pPr>
            <w:r>
              <w:t xml:space="preserve">Monthly bookkeeping and ledger maintenance by the dedicated Accountant for all business transactions, including journal entries, accounts payable, and accounts receivable reconciliation.</w:t>
            </w:r>
          </w:p>
        </w:tc>
        <w:tc>
          <w:tcPr/>
          <w:p>
            <w:pPr>
              <w:pStyle w:val="Compact"/>
              <w:jc w:val="left"/>
            </w:pPr>
            <w:r>
              <w:t xml:space="preserve">May 2025</w:t>
            </w:r>
          </w:p>
        </w:tc>
        <w:tc>
          <w:tcPr/>
          <w:p>
            <w:pPr>
              <w:pStyle w:val="Compact"/>
              <w:jc w:val="left"/>
            </w:pPr>
            <w:r>
              <w:t xml:space="preserve">1</w:t>
            </w:r>
          </w:p>
        </w:tc>
        <w:tc>
          <w:tcPr/>
          <w:p>
            <w:pPr>
              <w:pStyle w:val="Compact"/>
              <w:jc w:val="left"/>
            </w:pPr>
            <w:r>
              <w:t xml:space="preserve">85,000</w:t>
            </w:r>
          </w:p>
        </w:tc>
        <w:tc>
          <w:tcPr/>
          <w:p>
            <w:pPr>
              <w:pStyle w:val="Compact"/>
              <w:jc w:val="left"/>
            </w:pPr>
            <w:r>
              <w:t xml:space="preserve">85,000</w:t>
            </w:r>
          </w:p>
        </w:tc>
      </w:tr>
      <w:tr>
        <w:tc>
          <w:tcPr/>
          <w:p>
            <w:pPr>
              <w:pStyle w:val="Compact"/>
              <w:jc w:val="left"/>
            </w:pPr>
            <w:r>
              <w:t xml:space="preserve">2</w:t>
            </w:r>
          </w:p>
        </w:tc>
        <w:tc>
          <w:tcPr/>
          <w:p>
            <w:pPr>
              <w:pStyle w:val="Compact"/>
              <w:jc w:val="left"/>
            </w:pPr>
            <w:r>
              <w:t xml:space="preserve">Preparation and filing of monthly GST (Sales Tax) returns with the Federal Board of Revenue (FBR) on behalf of the client, handled by the senior Accountant team in Pakistan Islamabad.</w:t>
            </w:r>
          </w:p>
        </w:tc>
        <w:tc>
          <w:tcPr/>
          <w:p>
            <w:pPr>
              <w:pStyle w:val="Compact"/>
              <w:jc w:val="left"/>
            </w:pPr>
            <w:r>
              <w:t xml:space="preserve">May 2025</w:t>
            </w:r>
          </w:p>
        </w:tc>
        <w:tc>
          <w:tcPr/>
          <w:p>
            <w:pPr>
              <w:pStyle w:val="Compact"/>
              <w:jc w:val="left"/>
            </w:pPr>
            <w:r>
              <w:t xml:space="preserve">1</w:t>
            </w:r>
          </w:p>
        </w:tc>
        <w:tc>
          <w:tcPr/>
          <w:p>
            <w:pPr>
              <w:pStyle w:val="Compact"/>
              <w:jc w:val="left"/>
            </w:pPr>
            <w:r>
              <w:t xml:space="preserve">25,000</w:t>
            </w:r>
          </w:p>
        </w:tc>
        <w:tc>
          <w:tcPr/>
          <w:p>
            <w:pPr>
              <w:pStyle w:val="Compact"/>
              <w:jc w:val="left"/>
            </w:pPr>
            <w:r>
              <w:t xml:space="preserve">25,000</w:t>
            </w:r>
          </w:p>
        </w:tc>
      </w:tr>
      <w:tr>
        <w:tc>
          <w:tcPr/>
          <w:p>
            <w:pPr>
              <w:pStyle w:val="Compact"/>
              <w:jc w:val="left"/>
            </w:pPr>
            <w:r>
              <w:t xml:space="preserve">3</w:t>
            </w:r>
          </w:p>
        </w:tc>
        <w:tc>
          <w:tcPr/>
          <w:p>
            <w:pPr>
              <w:pStyle w:val="Compact"/>
              <w:jc w:val="left"/>
            </w:pPr>
            <w:r>
              <w:t xml:space="preserve">Monthly payroll processing for 45 employees, including salary computation, withholding tax deductions, and submission of monthly tax returns to the IRIS portal, performed by the Accountant.</w:t>
            </w:r>
          </w:p>
        </w:tc>
        <w:tc>
          <w:tcPr/>
          <w:p>
            <w:pPr>
              <w:pStyle w:val="Compact"/>
              <w:jc w:val="left"/>
            </w:pPr>
            <w:r>
              <w:t xml:space="preserve">May 2025</w:t>
            </w:r>
          </w:p>
        </w:tc>
        <w:tc>
          <w:tcPr/>
          <w:p>
            <w:pPr>
              <w:pStyle w:val="Compact"/>
              <w:jc w:val="left"/>
            </w:pPr>
            <w:r>
              <w:t xml:space="preserve">1</w:t>
            </w:r>
          </w:p>
        </w:tc>
        <w:tc>
          <w:tcPr/>
          <w:p>
            <w:pPr>
              <w:pStyle w:val="Compact"/>
              <w:jc w:val="left"/>
            </w:pPr>
            <w:r>
              <w:t xml:space="preserve">40,000</w:t>
            </w:r>
          </w:p>
        </w:tc>
        <w:tc>
          <w:tcPr/>
          <w:p>
            <w:pPr>
              <w:pStyle w:val="Compact"/>
              <w:jc w:val="left"/>
            </w:pPr>
            <w:r>
              <w:t xml:space="preserve">40,000</w:t>
            </w:r>
          </w:p>
        </w:tc>
      </w:tr>
      <w:tr>
        <w:tc>
          <w:tcPr/>
          <w:p>
            <w:pPr>
              <w:pStyle w:val="Compact"/>
              <w:jc w:val="left"/>
            </w:pPr>
            <w:r>
              <w:t xml:space="preserve">4</w:t>
            </w:r>
          </w:p>
        </w:tc>
        <w:tc>
          <w:tcPr/>
          <w:p>
            <w:pPr>
              <w:pStyle w:val="Compact"/>
              <w:jc w:val="left"/>
            </w:pPr>
            <w:r>
              <w:t xml:space="preserve">Preparation of monthly management accounts, profit and loss statement, balance sheet, and cash flow report for internal review by the board of directors.</w:t>
            </w:r>
          </w:p>
        </w:tc>
        <w:tc>
          <w:tcPr/>
          <w:p>
            <w:pPr>
              <w:pStyle w:val="Compact"/>
              <w:jc w:val="left"/>
            </w:pPr>
            <w:r>
              <w:t xml:space="preserve">May 2025</w:t>
            </w:r>
          </w:p>
        </w:tc>
        <w:tc>
          <w:tcPr/>
          <w:p>
            <w:pPr>
              <w:pStyle w:val="Compact"/>
              <w:jc w:val="left"/>
            </w:pPr>
            <w:r>
              <w:t xml:space="preserve">1</w:t>
            </w:r>
          </w:p>
        </w:tc>
        <w:tc>
          <w:tcPr/>
          <w:p>
            <w:pPr>
              <w:pStyle w:val="Compact"/>
              <w:jc w:val="left"/>
            </w:pPr>
            <w:r>
              <w:t xml:space="preserve">35,000</w:t>
            </w:r>
          </w:p>
        </w:tc>
        <w:tc>
          <w:tcPr/>
          <w:p>
            <w:pPr>
              <w:pStyle w:val="Compact"/>
              <w:jc w:val="left"/>
            </w:pPr>
            <w:r>
              <w:t xml:space="preserve">35,000</w:t>
            </w:r>
          </w:p>
        </w:tc>
      </w:tr>
      <w:tr>
        <w:tc>
          <w:tcPr/>
          <w:p>
            <w:pPr>
              <w:pStyle w:val="Compact"/>
              <w:jc w:val="left"/>
            </w:pPr>
            <w:r>
              <w:t xml:space="preserve">5</w:t>
            </w:r>
          </w:p>
        </w:tc>
        <w:tc>
          <w:tcPr/>
          <w:p>
            <w:pPr>
              <w:pStyle w:val="Compact"/>
              <w:jc w:val="left"/>
            </w:pPr>
            <w:r>
              <w:t xml:space="preserve">Bank reconciliation statements for all four active bank accounts, ensuring accuracy of financial records maintained by the Accountant in Pakistan Islamabad.</w:t>
            </w:r>
          </w:p>
        </w:tc>
        <w:tc>
          <w:tcPr/>
          <w:p>
            <w:pPr>
              <w:pStyle w:val="Compact"/>
              <w:jc w:val="left"/>
            </w:pPr>
            <w:r>
              <w:t xml:space="preserve">May 2025</w:t>
            </w:r>
          </w:p>
        </w:tc>
        <w:tc>
          <w:tcPr/>
          <w:p>
            <w:pPr>
              <w:pStyle w:val="Compact"/>
              <w:jc w:val="left"/>
            </w:pPr>
            <w:r>
              <w:t xml:space="preserve">4</w:t>
            </w:r>
          </w:p>
        </w:tc>
        <w:tc>
          <w:tcPr/>
          <w:p>
            <w:pPr>
              <w:pStyle w:val="Compact"/>
              <w:jc w:val="left"/>
            </w:pPr>
            <w:r>
              <w:t xml:space="preserve">5,000</w:t>
            </w:r>
          </w:p>
        </w:tc>
        <w:tc>
          <w:tcPr/>
          <w:p>
            <w:pPr>
              <w:pStyle w:val="Compact"/>
              <w:jc w:val="left"/>
            </w:pPr>
            <w:r>
              <w:t xml:space="preserve">20,000</w:t>
            </w:r>
          </w:p>
        </w:tc>
      </w:tr>
      <w:tr>
        <w:tc>
          <w:tcPr/>
          <w:p>
            <w:pPr>
              <w:pStyle w:val="Compact"/>
              <w:jc w:val="left"/>
            </w:pPr>
            <w:r>
              <w:t xml:space="preserve">6</w:t>
            </w:r>
          </w:p>
        </w:tc>
        <w:tc>
          <w:tcPr/>
          <w:p>
            <w:pPr>
              <w:pStyle w:val="Compact"/>
              <w:jc w:val="left"/>
            </w:pPr>
            <w:r>
              <w:t xml:space="preserve">Advisory consultation on tax planning, FBR compliance, and financial structuring for the upcoming fiscal year, provided by the principal Accountant and tax advisor.</w:t>
            </w:r>
          </w:p>
        </w:tc>
        <w:tc>
          <w:tcPr/>
          <w:p>
            <w:pPr>
              <w:pStyle w:val="Compact"/>
              <w:jc w:val="left"/>
            </w:pPr>
            <w:r>
              <w:t xml:space="preserve">June 2025</w:t>
            </w:r>
          </w:p>
        </w:tc>
        <w:tc>
          <w:tcPr/>
          <w:p>
            <w:pPr>
              <w:pStyle w:val="Compact"/>
              <w:jc w:val="left"/>
            </w:pPr>
            <w:r>
              <w:t xml:space="preserve">3</w:t>
            </w:r>
          </w:p>
        </w:tc>
        <w:tc>
          <w:tcPr/>
          <w:p>
            <w:pPr>
              <w:pStyle w:val="Compact"/>
              <w:jc w:val="left"/>
            </w:pPr>
            <w:r>
              <w:t xml:space="preserve">12,000</w:t>
            </w:r>
          </w:p>
        </w:tc>
        <w:tc>
          <w:tcPr/>
          <w:p>
            <w:pPr>
              <w:pStyle w:val="Compact"/>
              <w:jc w:val="left"/>
            </w:pPr>
            <w:r>
              <w:t xml:space="preserve">36,000</w:t>
            </w:r>
          </w:p>
        </w:tc>
      </w:tr>
      <w:tr>
        <w:tc>
          <w:tcPr/>
          <w:p>
            <w:pPr>
              <w:pStyle w:val="Compact"/>
              <w:jc w:val="left"/>
            </w:pPr>
            <w:r>
              <w:t xml:space="preserve">7</w:t>
            </w:r>
          </w:p>
        </w:tc>
        <w:tc>
          <w:tcPr/>
          <w:p>
            <w:pPr>
              <w:pStyle w:val="Compact"/>
              <w:jc w:val="left"/>
            </w:pPr>
            <w:r>
              <w:t xml:space="preserve">Annual audit preparation support, including compilation of audit schedules, trial balance verification, and documentation for the external audit firm, coordinated by the Accountant.</w:t>
            </w:r>
          </w:p>
        </w:tc>
        <w:tc>
          <w:tcPr/>
          <w:p>
            <w:pPr>
              <w:pStyle w:val="Compact"/>
              <w:jc w:val="left"/>
            </w:pPr>
            <w:r>
              <w:t xml:space="preserve">June 2025</w:t>
            </w:r>
          </w:p>
        </w:tc>
        <w:tc>
          <w:tcPr/>
          <w:p>
            <w:pPr>
              <w:pStyle w:val="Compact"/>
              <w:jc w:val="left"/>
            </w:pPr>
            <w:r>
              <w:t xml:space="preserve">1</w:t>
            </w:r>
          </w:p>
        </w:tc>
        <w:tc>
          <w:tcPr/>
          <w:p>
            <w:pPr>
              <w:pStyle w:val="Compact"/>
              <w:jc w:val="left"/>
            </w:pPr>
            <w:r>
              <w:t xml:space="preserve">55,000</w:t>
            </w:r>
          </w:p>
        </w:tc>
        <w:tc>
          <w:tcPr/>
          <w:p>
            <w:pPr>
              <w:pStyle w:val="Compact"/>
              <w:jc w:val="left"/>
            </w:pPr>
            <w:r>
              <w:t xml:space="preserve">55,000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PKR 296,000</w:t>
            </w:r>
          </w:p>
        </w:tc>
      </w:tr>
      <w:tr>
        <w:tc>
          <w:tcPr/>
          <w:p>
            <w:pPr>
              <w:pStyle w:val="Compact"/>
              <w:jc w:val="left"/>
            </w:pPr>
            <w:r>
              <w:t xml:space="preserve">GST @ 18% (as applicable in Pakistan Islamabad)</w:t>
            </w:r>
          </w:p>
        </w:tc>
        <w:tc>
          <w:tcPr/>
          <w:p>
            <w:pPr>
              <w:pStyle w:val="Compact"/>
              <w:jc w:val="right"/>
            </w:pPr>
            <w:r>
              <w:t xml:space="preserve">PKR 53,280</w:t>
            </w:r>
          </w:p>
        </w:tc>
      </w:tr>
      <w:tr>
        <w:tc>
          <w:tcPr/>
          <w:p>
            <w:pPr>
              <w:pStyle w:val="Compact"/>
              <w:jc w:val="left"/>
            </w:pPr>
            <w:r>
              <w:t xml:space="preserve">Withholding Tax @ 2% (as per FBR regulations)</w:t>
            </w:r>
          </w:p>
        </w:tc>
        <w:tc>
          <w:tcPr/>
          <w:p>
            <w:pPr>
              <w:pStyle w:val="Compact"/>
              <w:jc w:val="right"/>
            </w:pPr>
            <w:r>
              <w:t xml:space="preserve">(PKR 5,920)</w:t>
            </w:r>
          </w:p>
        </w:tc>
      </w:tr>
      <w:tr>
        <w:tc>
          <w:tcPr/>
          <w:p>
            <w:pPr>
              <w:pStyle w:val="Compact"/>
              <w:jc w:val="left"/>
            </w:pPr>
            <w:r>
              <w:t xml:space="preserve">Discount (Early Payment 5%)</w:t>
            </w:r>
          </w:p>
        </w:tc>
        <w:tc>
          <w:tcPr/>
          <w:p>
            <w:pPr>
              <w:pStyle w:val="Compact"/>
              <w:jc w:val="right"/>
            </w:pPr>
            <w:r>
              <w:t xml:space="preserve">(PKR 14,800)</w:t>
            </w:r>
          </w:p>
        </w:tc>
      </w:tr>
      <w:tr>
        <w:tc>
          <w:tcPr/>
          <w:p>
            <w:pPr>
              <w:pStyle w:val="Compact"/>
              <w:jc w:val="left"/>
            </w:pPr>
            <w:r>
              <w:t xml:space="preserve">Grand Total Due</w:t>
            </w:r>
          </w:p>
        </w:tc>
        <w:tc>
          <w:tcPr/>
          <w:p>
            <w:pPr>
              <w:pStyle w:val="Compact"/>
              <w:jc w:val="right"/>
            </w:pPr>
            <w:r>
              <w:t xml:space="preserve">PKR 328,560</w:t>
            </w:r>
          </w:p>
        </w:tc>
      </w:tr>
    </w:tbl>
    <w:bookmarkStart w:id="25" w:name="terms-and-conditions-of-this-invoice"/>
    <w:p>
      <w:pPr>
        <w:pStyle w:val="Heading3"/>
      </w:pPr>
      <w:r>
        <w:t xml:space="preserve">Terms and Conditions of This Invoice</w:t>
      </w:r>
    </w:p>
    <w:p>
      <w:pPr>
        <w:numPr>
          <w:ilvl w:val="0"/>
          <w:numId w:val="1001"/>
        </w:numPr>
        <w:pStyle w:val="Compact"/>
      </w:pPr>
      <w:r>
        <w:t xml:space="preserve">This Invoice is issued by Al-Madina Accounting &amp; Financial Services, a registered professional firm operating in Pakistan Islamabad, and is governed by the laws of the Islamic Republic of Pakistan.</w:t>
      </w:r>
    </w:p>
    <w:p>
      <w:pPr>
        <w:numPr>
          <w:ilvl w:val="0"/>
          <w:numId w:val="1001"/>
        </w:numPr>
        <w:pStyle w:val="Compact"/>
      </w:pPr>
      <w:r>
        <w:t xml:space="preserve">Payment of this Invoice is due within fifteen (15) calendar days from the date of issue. Late payments shall attract a penalty of 1.5% per month as per the Federal Shariat Court guidelines applicable in Pakistan Islamabad.</w:t>
      </w:r>
    </w:p>
    <w:p>
      <w:pPr>
        <w:numPr>
          <w:ilvl w:val="0"/>
          <w:numId w:val="1001"/>
        </w:numPr>
        <w:pStyle w:val="Compact"/>
      </w:pPr>
      <w:r>
        <w:t xml:space="preserve">The Accountant services described in this Invoice are subject to the master service agreement dated 01 January 2025 between both parties. Any additional services beyond the scope will be billed separately with a supplementary Invoice.</w:t>
      </w:r>
    </w:p>
    <w:p>
      <w:pPr>
        <w:numPr>
          <w:ilvl w:val="0"/>
          <w:numId w:val="1001"/>
        </w:numPr>
        <w:pStyle w:val="Compact"/>
      </w:pPr>
      <w:r>
        <w:t xml:space="preserve">All financial data, ledgers, and records handled by the Accountant are treated as strictly confidential. The Accountant shall not disclose any client information to third parties without written consent, in compliance with the Pakistan IT Act 2002.</w:t>
      </w:r>
    </w:p>
    <w:p>
      <w:pPr>
        <w:numPr>
          <w:ilvl w:val="0"/>
          <w:numId w:val="1001"/>
        </w:numPr>
        <w:pStyle w:val="Compact"/>
      </w:pPr>
      <w:r>
        <w:t xml:space="preserve">GST at 18% is applied as mandated by the Federal Board of Revenue for professional services rendered in Pakistan Islamabad. The withholding tax of 2% is deducted at source as per Section 149 of the Income Tax Ordinance 2001.</w:t>
      </w:r>
    </w:p>
    <w:p>
      <w:pPr>
        <w:numPr>
          <w:ilvl w:val="0"/>
          <w:numId w:val="1001"/>
        </w:numPr>
        <w:pStyle w:val="Compact"/>
      </w:pPr>
      <w:r>
        <w:t xml:space="preserve">This Invoice must be retained by the client for a minimum period of seven (7) years as per FBR record-keeping requirements applicable to all businesses registered in Pakistan Islamabad.</w:t>
      </w:r>
    </w:p>
    <w:p>
      <w:pPr>
        <w:numPr>
          <w:ilvl w:val="0"/>
          <w:numId w:val="1001"/>
        </w:numPr>
        <w:pStyle w:val="Compact"/>
      </w:pPr>
      <w:r>
        <w:t xml:space="preserve">Disputes arising from this Invoice shall be resolved through arbitration in Islamabad, Pakistan, in accordance with the Arbitration Act 1940. The jurisdiction of the courts of Pakistan Islamabad shall be exclusively applicable.</w:t>
      </w:r>
    </w:p>
    <w:p>
      <w:pPr>
        <w:numPr>
          <w:ilvl w:val="0"/>
          <w:numId w:val="1001"/>
        </w:numPr>
        <w:pStyle w:val="Compact"/>
      </w:pPr>
      <w:r>
        <w:t xml:space="preserve">The Accountant reserves the right to suspend services if payment of this Invoice or any prior Invoice remains overdue beyond thirty (30) days from the due date.</w:t>
      </w:r>
    </w:p>
    <w:bookmarkEnd w:id="25"/>
    <w:p>
      <w:pPr>
        <w:pStyle w:val="FirstParagraph"/>
      </w:pPr>
      <w:r>
        <w:rPr>
          <w:bCs/>
          <w:b/>
        </w:rPr>
        <w:t xml:space="preserve">Al-Madina Accounting &amp; Financial Services</w:t>
      </w:r>
      <w:r>
        <w:t xml:space="preserve"> </w:t>
      </w:r>
      <w:r>
        <w:t xml:space="preserve">| Plot 45-B, Blue Area, Jinnah Avenue, Pakistan Islamabad, 44000</w:t>
      </w:r>
    </w:p>
    <w:p>
      <w:pPr>
        <w:pStyle w:val="BodyText"/>
      </w:pPr>
      <w:r>
        <w:t xml:space="preserve">This Invoice is computer-generated and does not require a physical signature. For queries regarding this Invoice, please contact the Accountant in charge at billing@almadina-acc.pk or +92-51-227-4567.</w:t>
      </w:r>
    </w:p>
    <w:p>
      <w:pPr>
        <w:pStyle w:val="BodyText"/>
      </w:pPr>
      <w:r>
        <w:t xml:space="preserve">Registered with the Institute of Chartered Accountants of Pakistan (ICAP) | FBR Tax Practitioner License: TPL/2020/00891</w:t>
      </w:r>
    </w:p>
    <w:p>
      <w:pPr>
        <w:pStyle w:val="BodyText"/>
      </w:pPr>
      <w:r>
        <w:t xml:space="preserve">© 2025 Al-Madina Accounting &amp; Financial Services, Pakistan Islamabad. All rights reserved. Invoice Ref: AMS/2025/00472</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Accountant Services - Pakistan Islamabad</dc:title>
  <dc:creator/>
  <dc:language>en</dc:language>
  <cp:keywords/>
  <dcterms:created xsi:type="dcterms:W3CDTF">2026-10-10T08:06:37Z</dcterms:created>
  <dcterms:modified xsi:type="dcterms:W3CDTF">2026-10-10T08:06:37Z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