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X4c1fa9696aebc2d66012533a30cdc7f97d6dc56"/>
    <w:p>
      <w:pPr>
        <w:pStyle w:val="Heading1"/>
      </w:pPr>
      <w:r>
        <w:t xml:space="preserve">Manila Professional Accountant Services, Inc.</w:t>
      </w:r>
    </w:p>
    <w:p>
      <w:pPr>
        <w:pStyle w:val="FirstParagraph"/>
      </w:pPr>
      <w:r>
        <w:t xml:space="preserve">Unit 1204, Ayala Center Business Tower</w:t>
      </w:r>
    </w:p>
    <w:p>
      <w:pPr>
        <w:pStyle w:val="BodyText"/>
      </w:pPr>
      <w:r>
        <w:t xml:space="preserve">1201 Makati Avenue, Makati City, Philippines Manila</w:t>
      </w:r>
    </w:p>
    <w:p>
      <w:pPr>
        <w:pStyle w:val="BodyText"/>
      </w:pPr>
      <w:r>
        <w:t xml:space="preserve">Tel: +63 (2) 8888-4521 | Email: billing@mpas-manila.ph</w:t>
      </w:r>
    </w:p>
    <w:p>
      <w:pPr>
        <w:pStyle w:val="BodyText"/>
      </w:pPr>
      <w:r>
        <w:t xml:space="preserve">TIN: 000-123-456-000 | BIR Registration No. 000-123-456-000</w:t>
      </w:r>
    </w:p>
    <w:bookmarkEnd w:id="20"/>
    <w:bookmarkStart w:id="21" w:name="invoice"/>
    <w:p>
      <w:pPr>
        <w:pStyle w:val="Heading2"/>
      </w:pPr>
      <w:r>
        <w:t xml:space="preserve">INVOICE</w:t>
      </w:r>
    </w:p>
    <w:p>
      <w:pPr>
        <w:pStyle w:val="FirstParagraph"/>
      </w:pPr>
      <w:r>
        <w:t xml:space="preserve">Accountant Services Billing</w:t>
      </w:r>
    </w:p>
    <w:p>
      <w:pPr>
        <w:pStyle w:val="BodyText"/>
      </w:pPr>
      <w:r>
        <w:t xml:space="preserve">Philippines Manila</w:t>
      </w:r>
    </w:p>
    <w:p>
      <w:pPr>
        <w:pStyle w:val="BodyText"/>
      </w:pPr>
      <w:r>
        <w:t xml:space="preserve">UNPAID</w:t>
      </w:r>
    </w:p>
    <w:bookmarkEnd w:id="21"/>
    <w:bookmarkStart w:id="22" w:name="invoice-details"/>
    <w:p>
      <w:pPr>
        <w:pStyle w:val="Heading3"/>
      </w:pPr>
      <w:r>
        <w:t xml:space="preserve">Invoice Details</w:t>
      </w:r>
    </w:p>
    <w:p>
      <w:pPr>
        <w:pStyle w:val="FirstParagraph"/>
      </w:pPr>
      <w:r>
        <w:rPr>
          <w:bCs/>
          <w:b/>
        </w:rPr>
        <w:t xml:space="preserve">Invoice No.:</w:t>
      </w:r>
      <w:r>
        <w:t xml:space="preserve"> </w:t>
      </w:r>
      <w:r>
        <w:t xml:space="preserve">MPAS-2025-00487</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January 1 – June 30, 2025</w:t>
      </w:r>
    </w:p>
    <w:p>
      <w:pPr>
        <w:pStyle w:val="BodyText"/>
      </w:pPr>
      <w:r>
        <w:rPr>
          <w:bCs/>
          <w:b/>
        </w:rPr>
        <w:t xml:space="preserve">Payment Terms:</w:t>
      </w:r>
      <w:r>
        <w:t xml:space="preserve"> </w:t>
      </w:r>
      <w:r>
        <w:t xml:space="preserve">Net 30 Days</w:t>
      </w:r>
    </w:p>
    <w:bookmarkEnd w:id="22"/>
    <w:bookmarkStart w:id="23" w:name="billed-to"/>
    <w:p>
      <w:pPr>
        <w:pStyle w:val="Heading3"/>
      </w:pPr>
      <w:r>
        <w:t xml:space="preserve">Billed To</w:t>
      </w:r>
    </w:p>
    <w:p>
      <w:pPr>
        <w:pStyle w:val="FirstParagraph"/>
      </w:pPr>
      <w:r>
        <w:rPr>
          <w:bCs/>
          <w:b/>
        </w:rPr>
        <w:t xml:space="preserve">Client Name:</w:t>
      </w:r>
      <w:r>
        <w:t xml:space="preserve"> </w:t>
      </w:r>
      <w:r>
        <w:t xml:space="preserve">Sunrise Trading Corporation</w:t>
      </w:r>
    </w:p>
    <w:p>
      <w:pPr>
        <w:pStyle w:val="BodyText"/>
      </w:pPr>
      <w:r>
        <w:rPr>
          <w:bCs/>
          <w:b/>
        </w:rPr>
        <w:t xml:space="preserve">Address:</w:t>
      </w:r>
      <w:r>
        <w:t xml:space="preserve"> </w:t>
      </w:r>
      <w:r>
        <w:t xml:space="preserve">888 EDSA, Quezon City, Philippines Manila</w:t>
      </w:r>
    </w:p>
    <w:p>
      <w:pPr>
        <w:pStyle w:val="BodyText"/>
      </w:pPr>
      <w:r>
        <w:rPr>
          <w:bCs/>
          <w:b/>
        </w:rPr>
        <w:t xml:space="preserve">Contact Person:</w:t>
      </w:r>
      <w:r>
        <w:t xml:space="preserve"> </w:t>
      </w:r>
      <w:r>
        <w:t xml:space="preserve">Mr. Rafael D. Santos</w:t>
      </w:r>
    </w:p>
    <w:p>
      <w:pPr>
        <w:pStyle w:val="BodyText"/>
      </w:pPr>
      <w:r>
        <w:rPr>
          <w:bCs/>
          <w:b/>
        </w:rPr>
        <w:t xml:space="preserve">Email:</w:t>
      </w:r>
      <w:r>
        <w:t xml:space="preserve"> </w:t>
      </w:r>
      <w:r>
        <w:t xml:space="preserve">r.santos@sunrisetrading.ph</w:t>
      </w:r>
    </w:p>
    <w:p>
      <w:pPr>
        <w:pStyle w:val="BodyText"/>
      </w:pPr>
      <w:r>
        <w:rPr>
          <w:bCs/>
          <w:b/>
        </w:rPr>
        <w:t xml:space="preserve">TIN:</w:t>
      </w:r>
      <w:r>
        <w:t xml:space="preserve"> </w:t>
      </w:r>
      <w:r>
        <w:t xml:space="preserve">123-456-789-000</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Accountant Services</w:t>
            </w:r>
          </w:p>
        </w:tc>
        <w:tc>
          <w:tcPr/>
          <w:p>
            <w:pPr>
              <w:pStyle w:val="Compact"/>
              <w:jc w:val="left"/>
            </w:pPr>
            <w:r>
              <w:t xml:space="preserve">Service Period</w:t>
            </w:r>
          </w:p>
        </w:tc>
        <w:tc>
          <w:tcPr/>
          <w:p>
            <w:pPr>
              <w:pStyle w:val="Compact"/>
              <w:jc w:val="left"/>
            </w:pPr>
            <w:r>
              <w:t xml:space="preserve">Rate (PHP)</w:t>
            </w:r>
          </w:p>
        </w:tc>
        <w:tc>
          <w:tcPr/>
          <w:p>
            <w:pPr>
              <w:pStyle w:val="Compact"/>
              <w:jc w:val="left"/>
            </w:pPr>
            <w:r>
              <w:t xml:space="preserve">Amount (PHP)</w:t>
            </w:r>
          </w:p>
        </w:tc>
      </w:tr>
      <w:tr>
        <w:tc>
          <w:tcPr/>
          <w:p>
            <w:pPr>
              <w:pStyle w:val="Compact"/>
              <w:jc w:val="left"/>
            </w:pPr>
            <w:r>
              <w:t xml:space="preserve">1</w:t>
            </w:r>
          </w:p>
        </w:tc>
        <w:tc>
          <w:tcPr/>
          <w:p>
            <w:pPr>
              <w:pStyle w:val="Compact"/>
              <w:jc w:val="left"/>
            </w:pPr>
            <w:r>
              <w:t xml:space="preserve">Monthly Bookkeeping and Financial Record Maintenance – Complete accounting entries, journal postings, and ledger reconciliation for Sunrise Trading Corporation as performed by our licensed Accountant in Philippines Manila.</w:t>
            </w:r>
          </w:p>
        </w:tc>
        <w:tc>
          <w:tcPr/>
          <w:p>
            <w:pPr>
              <w:pStyle w:val="Compact"/>
              <w:jc w:val="left"/>
            </w:pPr>
            <w:r>
              <w:t xml:space="preserve">Jan – Jun 2025</w:t>
            </w:r>
          </w:p>
        </w:tc>
        <w:tc>
          <w:tcPr/>
          <w:p>
            <w:pPr>
              <w:pStyle w:val="Compact"/>
              <w:jc w:val="left"/>
            </w:pPr>
            <w:r>
              <w:t xml:space="preserve">25,000.00</w:t>
            </w:r>
          </w:p>
        </w:tc>
        <w:tc>
          <w:tcPr/>
          <w:p>
            <w:pPr>
              <w:pStyle w:val="Compact"/>
              <w:jc w:val="left"/>
            </w:pPr>
            <w:r>
              <w:t xml:space="preserve">150,000.00</w:t>
            </w:r>
          </w:p>
        </w:tc>
      </w:tr>
      <w:tr>
        <w:tc>
          <w:tcPr/>
          <w:p>
            <w:pPr>
              <w:pStyle w:val="Compact"/>
              <w:jc w:val="left"/>
            </w:pPr>
            <w:r>
              <w:t xml:space="preserve">2</w:t>
            </w:r>
          </w:p>
        </w:tc>
        <w:tc>
          <w:tcPr/>
          <w:p>
            <w:pPr>
              <w:pStyle w:val="Compact"/>
              <w:jc w:val="left"/>
            </w:pPr>
            <w:r>
              <w:t xml:space="preserve">Quarterly Financial Statement Preparation and Analysis – Preparation of balance sheets, income statements, and cash flow statements by our senior Accountant team based in Philippines Manila, including variance analysis and management commentary.</w:t>
            </w:r>
          </w:p>
        </w:tc>
        <w:tc>
          <w:tcPr/>
          <w:p>
            <w:pPr>
              <w:pStyle w:val="Compact"/>
              <w:jc w:val="left"/>
            </w:pPr>
            <w:r>
              <w:t xml:space="preserve">Q1 &amp; Q2 2025</w:t>
            </w:r>
          </w:p>
        </w:tc>
        <w:tc>
          <w:tcPr/>
          <w:p>
            <w:pPr>
              <w:pStyle w:val="Compact"/>
              <w:jc w:val="left"/>
            </w:pPr>
            <w:r>
              <w:t xml:space="preserve">35,000.00</w:t>
            </w:r>
          </w:p>
        </w:tc>
        <w:tc>
          <w:tcPr/>
          <w:p>
            <w:pPr>
              <w:pStyle w:val="Compact"/>
              <w:jc w:val="left"/>
            </w:pPr>
            <w:r>
              <w:t xml:space="preserve">70,000.00</w:t>
            </w:r>
          </w:p>
        </w:tc>
      </w:tr>
      <w:tr>
        <w:tc>
          <w:tcPr/>
          <w:p>
            <w:pPr>
              <w:pStyle w:val="Compact"/>
              <w:jc w:val="left"/>
            </w:pPr>
            <w:r>
              <w:t xml:space="preserve">3</w:t>
            </w:r>
          </w:p>
        </w:tc>
        <w:tc>
          <w:tcPr/>
          <w:p>
            <w:pPr>
              <w:pStyle w:val="Compact"/>
              <w:jc w:val="left"/>
            </w:pPr>
            <w:r>
              <w:t xml:space="preserve">BIR Tax Filing and Compliance – Filing of quarterly income tax returns (ITR), withholding tax returns, and VAT declarations with the Bureau of Internal Revenue in Philippines Manila. Includes preparation of all supporting schedules and compliance documentation.</w:t>
            </w:r>
          </w:p>
        </w:tc>
        <w:tc>
          <w:tcPr/>
          <w:p>
            <w:pPr>
              <w:pStyle w:val="Compact"/>
              <w:jc w:val="left"/>
            </w:pPr>
            <w:r>
              <w:t xml:space="preserve">Jan – Jun 2025</w:t>
            </w:r>
          </w:p>
        </w:tc>
        <w:tc>
          <w:tcPr/>
          <w:p>
            <w:pPr>
              <w:pStyle w:val="Compact"/>
              <w:jc w:val="left"/>
            </w:pPr>
            <w:r>
              <w:t xml:space="preserve">18,000.00</w:t>
            </w:r>
          </w:p>
        </w:tc>
        <w:tc>
          <w:tcPr/>
          <w:p>
            <w:pPr>
              <w:pStyle w:val="Compact"/>
              <w:jc w:val="left"/>
            </w:pPr>
            <w:r>
              <w:t xml:space="preserve">54,000.00</w:t>
            </w:r>
          </w:p>
        </w:tc>
      </w:tr>
      <w:tr>
        <w:tc>
          <w:tcPr/>
          <w:p>
            <w:pPr>
              <w:pStyle w:val="Compact"/>
              <w:jc w:val="left"/>
            </w:pPr>
            <w:r>
              <w:t xml:space="preserve">4</w:t>
            </w:r>
          </w:p>
        </w:tc>
        <w:tc>
          <w:tcPr/>
          <w:p>
            <w:pPr>
              <w:pStyle w:val="Compact"/>
              <w:jc w:val="left"/>
            </w:pPr>
            <w:r>
              <w:t xml:space="preserve">Payroll Processing and SSS/PhilHealth/Pag-IBIG Compliance – Monthly computation of employee salaries, deductions, and remittances to Social Security System, Philippine Health Insurance Corporation, and Pag-IBIG Fund as handled by our dedicated Accountant in Philippines Manila.</w:t>
            </w:r>
          </w:p>
        </w:tc>
        <w:tc>
          <w:tcPr/>
          <w:p>
            <w:pPr>
              <w:pStyle w:val="Compact"/>
              <w:jc w:val="left"/>
            </w:pPr>
            <w:r>
              <w:t xml:space="preserve">Jan – Jun 2025</w:t>
            </w:r>
          </w:p>
        </w:tc>
        <w:tc>
          <w:tcPr/>
          <w:p>
            <w:pPr>
              <w:pStyle w:val="Compact"/>
              <w:jc w:val="left"/>
            </w:pPr>
            <w:r>
              <w:t xml:space="preserve">15,000.00</w:t>
            </w:r>
          </w:p>
        </w:tc>
        <w:tc>
          <w:tcPr/>
          <w:p>
            <w:pPr>
              <w:pStyle w:val="Compact"/>
              <w:jc w:val="left"/>
            </w:pPr>
            <w:r>
              <w:t xml:space="preserve">90,000.00</w:t>
            </w:r>
          </w:p>
        </w:tc>
      </w:tr>
      <w:tr>
        <w:tc>
          <w:tcPr/>
          <w:p>
            <w:pPr>
              <w:pStyle w:val="Compact"/>
              <w:jc w:val="left"/>
            </w:pPr>
            <w:r>
              <w:t xml:space="preserve">5</w:t>
            </w:r>
          </w:p>
        </w:tc>
        <w:tc>
          <w:tcPr/>
          <w:p>
            <w:pPr>
              <w:pStyle w:val="Compact"/>
              <w:jc w:val="left"/>
            </w:pPr>
            <w:r>
              <w:t xml:space="preserve">Annual Audit Support and Internal Controls Review – Assistance to the external auditor, implementation of internal control recommendations, and preparation of audit trail documentation by our Accountant firm in Philippines Manila.</w:t>
            </w:r>
          </w:p>
        </w:tc>
        <w:tc>
          <w:tcPr/>
          <w:p>
            <w:pPr>
              <w:pStyle w:val="Compact"/>
              <w:jc w:val="left"/>
            </w:pPr>
            <w:r>
              <w:t xml:space="preserve">May – Jun 2025</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6</w:t>
            </w:r>
          </w:p>
        </w:tc>
        <w:tc>
          <w:tcPr/>
          <w:p>
            <w:pPr>
              <w:pStyle w:val="Compact"/>
              <w:jc w:val="left"/>
            </w:pPr>
            <w:r>
              <w:t xml:space="preserve">Advisory and Consultation Services – Strategic tax planning, budget forecasting, and financial advisory sessions conducted by our principal Accountant in Philippines Manila. Includes four (4) on-site consultation meetings at the client's office in Quezon City.</w:t>
            </w:r>
          </w:p>
        </w:tc>
        <w:tc>
          <w:tcPr/>
          <w:p>
            <w:pPr>
              <w:pStyle w:val="Compact"/>
              <w:jc w:val="left"/>
            </w:pPr>
            <w:r>
              <w:t xml:space="preserve">Jan – Jun 2025</w:t>
            </w:r>
          </w:p>
        </w:tc>
        <w:tc>
          <w:tcPr/>
          <w:p>
            <w:pPr>
              <w:pStyle w:val="Compact"/>
              <w:jc w:val="left"/>
            </w:pPr>
            <w:r>
              <w:t xml:space="preserve">12,500.00</w:t>
            </w:r>
          </w:p>
        </w:tc>
        <w:tc>
          <w:tcPr/>
          <w:p>
            <w:pPr>
              <w:pStyle w:val="Compact"/>
              <w:jc w:val="left"/>
            </w:pPr>
            <w:r>
              <w:t xml:space="preserve">50,000.00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PHP 459,000.00</w:t>
            </w:r>
          </w:p>
        </w:tc>
      </w:tr>
      <w:tr>
        <w:tc>
          <w:tcPr/>
          <w:p>
            <w:pPr>
              <w:pStyle w:val="Compact"/>
              <w:jc w:val="left"/>
            </w:pPr>
            <w:r>
              <w:t xml:space="preserve">VAT (12%)</w:t>
            </w:r>
          </w:p>
        </w:tc>
        <w:tc>
          <w:tcPr/>
          <w:p>
            <w:pPr>
              <w:pStyle w:val="Compact"/>
              <w:jc w:val="left"/>
            </w:pPr>
            <w:r>
              <w:t xml:space="preserve">PHP 55,080.00</w:t>
            </w:r>
          </w:p>
        </w:tc>
      </w:tr>
      <w:tr>
        <w:tc>
          <w:tcPr/>
          <w:p>
            <w:pPr>
              <w:pStyle w:val="Compact"/>
              <w:jc w:val="left"/>
            </w:pPr>
            <w:r>
              <w:t xml:space="preserve">Withholding Tax (2%)</w:t>
            </w:r>
          </w:p>
        </w:tc>
        <w:tc>
          <w:tcPr/>
          <w:p>
            <w:pPr>
              <w:pStyle w:val="Compact"/>
              <w:jc w:val="left"/>
            </w:pPr>
            <w:r>
              <w:t xml:space="preserve">(PHP 9,180.00)</w:t>
            </w:r>
          </w:p>
        </w:tc>
      </w:tr>
      <w:tr>
        <w:tc>
          <w:tcPr/>
          <w:p>
            <w:pPr>
              <w:pStyle w:val="Compact"/>
              <w:jc w:val="left"/>
            </w:pPr>
            <w:r>
              <w:t xml:space="preserve">NET AMOUNT DUE</w:t>
            </w:r>
          </w:p>
        </w:tc>
        <w:tc>
          <w:tcPr/>
          <w:p>
            <w:pPr>
              <w:pStyle w:val="Compact"/>
              <w:jc w:val="left"/>
            </w:pPr>
            <w:r>
              <w:t xml:space="preserve">PHP 504,900.00</w:t>
            </w:r>
          </w:p>
        </w:tc>
      </w:tr>
    </w:tbl>
    <w:bookmarkStart w:id="24" w:name="notes-regarding-this-invoice"/>
    <w:p>
      <w:pPr>
        <w:pStyle w:val="Heading3"/>
      </w:pPr>
      <w:r>
        <w:t xml:space="preserve">Notes Regarding This Invoice</w:t>
      </w:r>
    </w:p>
    <w:p>
      <w:pPr>
        <w:pStyle w:val="FirstParagraph"/>
      </w:pPr>
      <w:r>
        <w:t xml:space="preserve">This Invoice is issued by Manila Professional Accountant Services, Inc., a duly registered Accountant firm operating in Philippines Manila, in accordance with the Philippine Financial Reporting Standards (PFRS) and the Revised Tax Code of the Republic of the Philippines.</w:t>
      </w:r>
    </w:p>
    <w:p>
      <w:pPr>
        <w:numPr>
          <w:ilvl w:val="0"/>
          <w:numId w:val="1001"/>
        </w:numPr>
        <w:pStyle w:val="Compact"/>
      </w:pPr>
      <w:r>
        <w:t xml:space="preserve">All amounts are stated in Philippine Pesos (PHP) unless otherwise indicated.</w:t>
      </w:r>
    </w:p>
    <w:p>
      <w:pPr>
        <w:numPr>
          <w:ilvl w:val="0"/>
          <w:numId w:val="1001"/>
        </w:numPr>
        <w:pStyle w:val="Compact"/>
      </w:pPr>
      <w:r>
        <w:t xml:space="preserve">The 12% Value-Added Tax (VAT) is applied as mandated by the Bureau of Internal Revenue (BIR) for registered VAT taxpayers in Philippines Manila.</w:t>
      </w:r>
    </w:p>
    <w:p>
      <w:pPr>
        <w:numPr>
          <w:ilvl w:val="0"/>
          <w:numId w:val="1001"/>
        </w:numPr>
        <w:pStyle w:val="Compact"/>
      </w:pPr>
      <w:r>
        <w:t xml:space="preserve">The 2% Withholding Tax has been deducted in accordance with BIR Revenue Regulations and will be remitted by the client to the BIR office in Philippines Manila.</w:t>
      </w:r>
    </w:p>
    <w:p>
      <w:pPr>
        <w:numPr>
          <w:ilvl w:val="0"/>
          <w:numId w:val="1001"/>
        </w:numPr>
        <w:pStyle w:val="Compact"/>
      </w:pPr>
      <w:r>
        <w:t xml:space="preserve">Payment may be made via bank transfer to BDO Unibank, A/C No. 1234-5678-901, in the name of Manila Professional Accountant Services, Inc., or via check payable to the firm.</w:t>
      </w:r>
    </w:p>
    <w:p>
      <w:pPr>
        <w:numPr>
          <w:ilvl w:val="0"/>
          <w:numId w:val="1001"/>
        </w:numPr>
        <w:pStyle w:val="Compact"/>
      </w:pPr>
      <w:r>
        <w:t xml:space="preserve">Please reference Invoice No. MPAS-2025-00487 in all correspondence and payment remittances.</w:t>
      </w:r>
    </w:p>
    <w:p>
      <w:pPr>
        <w:numPr>
          <w:ilvl w:val="0"/>
          <w:numId w:val="1001"/>
        </w:numPr>
        <w:pStyle w:val="Compact"/>
      </w:pPr>
      <w:r>
        <w:t xml:space="preserve">Our Accountant team in Philippines Manila is available for any clarification regarding the line items or supporting documentation attached to this Invoice.</w:t>
      </w:r>
    </w:p>
    <w:bookmarkEnd w:id="24"/>
    <w:bookmarkStart w:id="25" w:name="terms-and-conditions"/>
    <w:p>
      <w:pPr>
        <w:pStyle w:val="Heading3"/>
      </w:pPr>
      <w:r>
        <w:t xml:space="preserve">Terms and Conditions</w:t>
      </w:r>
    </w:p>
    <w:p>
      <w:pPr>
        <w:pStyle w:val="FirstParagraph"/>
      </w:pPr>
      <w:r>
        <w:t xml:space="preserve">1. Payment is due within thirty (30) calendar days from the Invoice date. Late payments shall be subject to a 1.5% monthly interest charge as per the service agreement between Manila Professional Accountant Services, Inc. and Sunrise Trading Corporation.</w:t>
      </w:r>
    </w:p>
    <w:p>
      <w:pPr>
        <w:pStyle w:val="BodyText"/>
      </w:pPr>
      <w:r>
        <w:t xml:space="preserve">2. This Invoice covers all Accountant services rendered in Philippines Manila during the period of January 1, 2025, to June 30, 2025. Any additional services requested outside the scope of the engagement letter shall be billed separately.</w:t>
      </w:r>
    </w:p>
    <w:p>
      <w:pPr>
        <w:pStyle w:val="BodyText"/>
      </w:pPr>
      <w:r>
        <w:t xml:space="preserve">3. The client acknowledges that all financial records, tax filings, and compliance documents prepared by our Accountant team in Philippines Manila are subject to the confidentiality provisions of the Philippine Data Privacy Act of 2012 (Republic Act No. 10173).</w:t>
      </w:r>
    </w:p>
    <w:p>
      <w:pPr>
        <w:pStyle w:val="BodyText"/>
      </w:pPr>
      <w:r>
        <w:t xml:space="preserve">4. Disputes arising from this Invoice shall be resolved through amicable negotiation. In the absence of resolution, disputes shall be submitted to the appropriate courts of law in Philippines Manila.</w:t>
      </w:r>
    </w:p>
    <w:p>
      <w:pPr>
        <w:pStyle w:val="BodyText"/>
      </w:pPr>
      <w:r>
        <w:t xml:space="preserve">5. This Invoice is valid for one hundred eighty (180) days from the date of issuance. After this period, the Accountant firm reserves the right to reissue the Invoice with applicable adjustments.</w:t>
      </w:r>
    </w:p>
    <w:bookmarkEnd w:id="25"/>
    <w:p>
      <w:pPr>
        <w:pStyle w:val="BodyText"/>
      </w:pPr>
      <w:r>
        <w:rPr>
          <w:bCs/>
          <w:b/>
        </w:rPr>
        <w:t xml:space="preserve">Prepared by:</w:t>
      </w:r>
      <w:r>
        <w:t xml:space="preserve"> </w:t>
      </w:r>
      <w:r>
        <w:t xml:space="preserve">Maria C. Villanueva, CPA – Lead Accountant, Manila Professional Accountant Services, Inc.</w:t>
      </w:r>
    </w:p>
    <w:p>
      <w:pPr>
        <w:pStyle w:val="BodyText"/>
      </w:pPr>
      <w:r>
        <w:rPr>
          <w:bCs/>
          <w:b/>
        </w:rPr>
        <w:t xml:space="preserve">Reviewed by:</w:t>
      </w:r>
      <w:r>
        <w:t xml:space="preserve"> </w:t>
      </w:r>
      <w:r>
        <w:t xml:space="preserve">Dr. Antonio R. Dela Cruz, CPA – Managing Partner, Philippines Manila</w:t>
      </w:r>
    </w:p>
    <w:p>
      <w:pPr>
        <w:pStyle w:val="BodyText"/>
      </w:pPr>
      <w:r>
        <w:t xml:space="preserve">Manila Professional Accountant Services, Inc. | 1201 Makati Avenue, Makati City, Philippines Manila | BIR-Registered | PRC License No. 123456</w:t>
      </w:r>
    </w:p>
    <w:p>
      <w:pPr>
        <w:pStyle w:val="BodyText"/>
      </w:pPr>
      <w:r>
        <w:t xml:space="preserve">Thank you for choosing our Accountant services in Philippines Manila. We look forward to continuing our professional relationship.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Accountant Services - Philippines Manila</dc:title>
  <dc:creator/>
  <dc:language>en</dc:language>
  <cp:keywords/>
  <dcterms:created xsi:type="dcterms:W3CDTF">2026-10-10T06:44:16Z</dcterms:created>
  <dcterms:modified xsi:type="dcterms:W3CDTF">2026-10-10T06:44:16Z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