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Qatar</w:t>
      </w:r>
      <w:r>
        <w:t xml:space="preserve"> </w:t>
      </w:r>
      <w:r>
        <w:t xml:space="preserve">Doha</w:t>
      </w:r>
    </w:p>
    <w:bookmarkStart w:id="20" w:name="Xb382887f401d6eb42fc85aee3c110884b179143"/>
    <w:p>
      <w:pPr>
        <w:pStyle w:val="Heading1"/>
      </w:pPr>
      <w:r>
        <w:t xml:space="preserve">Al Rayyan Accounting &amp; Financial Services LLC</w:t>
      </w:r>
    </w:p>
    <w:p>
      <w:pPr>
        <w:pStyle w:val="FirstParagraph"/>
      </w:pPr>
      <w:r>
        <w:t xml:space="preserve">Office 1204, Level 12, Doha Financial Centre</w:t>
      </w:r>
    </w:p>
    <w:p>
      <w:pPr>
        <w:pStyle w:val="BodyText"/>
      </w:pPr>
      <w:r>
        <w:t xml:space="preserve">Sheikh Jassim Road, Doha, Qatar</w:t>
      </w:r>
    </w:p>
    <w:p>
      <w:pPr>
        <w:pStyle w:val="BodyText"/>
      </w:pPr>
      <w:r>
        <w:t xml:space="preserve">Phone: +974-4455-6677 | Email: billing@alrayyan-afs.qa</w:t>
      </w:r>
    </w:p>
    <w:p>
      <w:pPr>
        <w:pStyle w:val="BodyText"/>
      </w:pPr>
      <w:r>
        <w:t xml:space="preserve">Qatar Commercial Registration No: 123456</w:t>
      </w:r>
    </w:p>
    <w:p>
      <w:pPr>
        <w:pStyle w:val="BodyText"/>
      </w:pPr>
      <w:r>
        <w:t xml:space="preserve">VAT Registration No: QV-789-456-123</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ARF-2025-00487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client"/>
    <w:p>
      <w:pPr>
        <w:pStyle w:val="Heading3"/>
      </w:pPr>
      <w:r>
        <w:t xml:space="preserve">Billed To (Client)</w:t>
      </w:r>
    </w:p>
    <w:p>
      <w:pPr>
        <w:pStyle w:val="FirstParagraph"/>
      </w:pPr>
      <w:r>
        <w:rPr>
          <w:bCs/>
          <w:b/>
        </w:rPr>
        <w:t xml:space="preserve">Al Noor Trading &amp; Logistics WLL</w:t>
      </w:r>
    </w:p>
    <w:p>
      <w:pPr>
        <w:pStyle w:val="BodyText"/>
      </w:pPr>
      <w:r>
        <w:t xml:space="preserve">Attn: Mr. Khalid Al Mansoori, CFO</w:t>
      </w:r>
    </w:p>
    <w:p>
      <w:pPr>
        <w:pStyle w:val="BodyText"/>
      </w:pPr>
      <w:r>
        <w:t xml:space="preserve">Building 88, Street 45, Zone 77</w:t>
      </w:r>
    </w:p>
    <w:p>
      <w:pPr>
        <w:pStyle w:val="BodyText"/>
      </w:pPr>
      <w:r>
        <w:t xml:space="preserve">Doha, Qatar</w:t>
      </w:r>
    </w:p>
    <w:p>
      <w:pPr>
        <w:pStyle w:val="BodyText"/>
      </w:pPr>
      <w:r>
        <w:t xml:space="preserve">Phone: +974-5512-3456</w:t>
      </w:r>
    </w:p>
    <w:p>
      <w:pPr>
        <w:pStyle w:val="BodyText"/>
      </w:pPr>
      <w:r>
        <w:t xml:space="preserve">Email: finance@alnoor-trading.qa</w:t>
      </w:r>
    </w:p>
    <w:p>
      <w:pPr>
        <w:pStyle w:val="BodyText"/>
      </w:pPr>
      <w:r>
        <w:t xml:space="preserve">CR No: 654321</w:t>
      </w:r>
    </w:p>
    <w:bookmarkEnd w:id="22"/>
    <w:bookmarkStart w:id="23" w:name="prepared-by-accountant"/>
    <w:p>
      <w:pPr>
        <w:pStyle w:val="Heading3"/>
      </w:pPr>
      <w:r>
        <w:t xml:space="preserve">Prepared By (Accountant)</w:t>
      </w:r>
    </w:p>
    <w:p>
      <w:pPr>
        <w:pStyle w:val="FirstParagraph"/>
      </w:pPr>
      <w:r>
        <w:rPr>
          <w:bCs/>
          <w:b/>
        </w:rPr>
        <w:t xml:space="preserve">Ms. Fatima Al Suwaidi, CPA</w:t>
      </w:r>
    </w:p>
    <w:p>
      <w:pPr>
        <w:pStyle w:val="BodyText"/>
      </w:pPr>
      <w:r>
        <w:t xml:space="preserve">Lead Accountant &amp; Tax Consultant</w:t>
      </w:r>
    </w:p>
    <w:p>
      <w:pPr>
        <w:pStyle w:val="BodyText"/>
      </w:pPr>
      <w:r>
        <w:t xml:space="preserve">Al Rayyan Accounting &amp; Financial Services LLC</w:t>
      </w:r>
    </w:p>
    <w:p>
      <w:pPr>
        <w:pStyle w:val="BodyText"/>
      </w:pPr>
      <w:r>
        <w:t xml:space="preserve">Doha, Qatar</w:t>
      </w:r>
    </w:p>
    <w:p>
      <w:pPr>
        <w:pStyle w:val="BodyText"/>
      </w:pPr>
      <w:r>
        <w:t xml:space="preserve">License No: QAC-2019-0087</w:t>
      </w:r>
    </w:p>
    <w:p>
      <w:pPr>
        <w:pStyle w:val="BodyText"/>
      </w:pPr>
      <w:r>
        <w:t xml:space="preserve">Qatar Accountants Association Member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Accountant Services Rendered</w:t>
            </w:r>
          </w:p>
        </w:tc>
        <w:tc>
          <w:tcPr/>
          <w:p>
            <w:pPr>
              <w:pStyle w:val="Compact"/>
              <w:jc w:val="left"/>
            </w:pPr>
            <w:r>
              <w:t xml:space="preserve">Service Category</w:t>
            </w:r>
          </w:p>
        </w:tc>
        <w:tc>
          <w:tcPr/>
          <w:p>
            <w:pPr>
              <w:pStyle w:val="Compact"/>
              <w:jc w:val="left"/>
            </w:pPr>
            <w:r>
              <w:t xml:space="preserve">Hours</w:t>
            </w:r>
          </w:p>
        </w:tc>
        <w:tc>
          <w:tcPr/>
          <w:p>
            <w:pPr>
              <w:pStyle w:val="Compact"/>
              <w:jc w:val="left"/>
            </w:pPr>
            <w:r>
              <w:t xml:space="preserve">Rate (QAR)</w:t>
            </w:r>
          </w:p>
        </w:tc>
        <w:tc>
          <w:tcPr/>
          <w:p>
            <w:pPr>
              <w:pStyle w:val="Compact"/>
              <w:jc w:val="left"/>
            </w:pPr>
            <w:r>
              <w:t xml:space="preserve">Amount (QAR)</w:t>
            </w:r>
          </w:p>
        </w:tc>
      </w:tr>
      <w:tr>
        <w:tc>
          <w:tcPr/>
          <w:p>
            <w:pPr>
              <w:pStyle w:val="Compact"/>
              <w:jc w:val="left"/>
            </w:pPr>
            <w:r>
              <w:t xml:space="preserve">1</w:t>
            </w:r>
          </w:p>
        </w:tc>
        <w:tc>
          <w:tcPr/>
          <w:p>
            <w:pPr>
              <w:pStyle w:val="Compact"/>
              <w:jc w:val="left"/>
            </w:pPr>
            <w:r>
              <w:t xml:space="preserve">Monthly bookkeeping and general ledger maintenance for the client's operations in Qatar Doha, including reconciliation of bank accounts, accounts payable, and accounts receivable.</w:t>
            </w:r>
          </w:p>
        </w:tc>
        <w:tc>
          <w:tcPr/>
          <w:p>
            <w:pPr>
              <w:pStyle w:val="Compact"/>
              <w:jc w:val="left"/>
            </w:pPr>
            <w:r>
              <w:t xml:space="preserve">Bookkeeping</w:t>
            </w:r>
          </w:p>
        </w:tc>
        <w:tc>
          <w:tcPr/>
          <w:p>
            <w:pPr>
              <w:pStyle w:val="Compact"/>
              <w:jc w:val="left"/>
            </w:pPr>
            <w:r>
              <w:t xml:space="preserve">24</w:t>
            </w:r>
          </w:p>
        </w:tc>
        <w:tc>
          <w:tcPr/>
          <w:p>
            <w:pPr>
              <w:pStyle w:val="Compact"/>
              <w:jc w:val="left"/>
            </w:pPr>
            <w:r>
              <w:t xml:space="preserve">150.00</w:t>
            </w:r>
          </w:p>
        </w:tc>
        <w:tc>
          <w:tcPr/>
          <w:p>
            <w:pPr>
              <w:pStyle w:val="Compact"/>
              <w:jc w:val="left"/>
            </w:pPr>
            <w:r>
              <w:t xml:space="preserve">3,600.00</w:t>
            </w:r>
          </w:p>
        </w:tc>
      </w:tr>
      <w:tr>
        <w:tc>
          <w:tcPr/>
          <w:p>
            <w:pPr>
              <w:pStyle w:val="Compact"/>
              <w:jc w:val="left"/>
            </w:pPr>
            <w:r>
              <w:t xml:space="preserve">2</w:t>
            </w:r>
          </w:p>
        </w:tc>
        <w:tc>
          <w:tcPr/>
          <w:p>
            <w:pPr>
              <w:pStyle w:val="Compact"/>
              <w:jc w:val="left"/>
            </w:pPr>
            <w:r>
              <w:t xml:space="preserve">Preparation and filing of monthly VAT returns with the Qatar Tax Authority, ensuring full compliance with the VAT law effective in Qatar Doha and the broader State of Qatar.</w:t>
            </w:r>
          </w:p>
        </w:tc>
        <w:tc>
          <w:tcPr/>
          <w:p>
            <w:pPr>
              <w:pStyle w:val="Compact"/>
              <w:jc w:val="left"/>
            </w:pPr>
            <w:r>
              <w:t xml:space="preserve">Tax Compliance</w:t>
            </w:r>
          </w:p>
        </w:tc>
        <w:tc>
          <w:tcPr/>
          <w:p>
            <w:pPr>
              <w:pStyle w:val="Compact"/>
              <w:jc w:val="left"/>
            </w:pPr>
            <w:r>
              <w:t xml:space="preserve">12</w:t>
            </w:r>
          </w:p>
        </w:tc>
        <w:tc>
          <w:tcPr/>
          <w:p>
            <w:pPr>
              <w:pStyle w:val="Compact"/>
              <w:jc w:val="left"/>
            </w:pPr>
            <w:r>
              <w:t xml:space="preserve">175.00</w:t>
            </w:r>
          </w:p>
        </w:tc>
        <w:tc>
          <w:tcPr/>
          <w:p>
            <w:pPr>
              <w:pStyle w:val="Compact"/>
              <w:jc w:val="left"/>
            </w:pPr>
            <w:r>
              <w:t xml:space="preserve">2,100.00</w:t>
            </w:r>
          </w:p>
        </w:tc>
      </w:tr>
      <w:tr>
        <w:tc>
          <w:tcPr/>
          <w:p>
            <w:pPr>
              <w:pStyle w:val="Compact"/>
              <w:jc w:val="left"/>
            </w:pPr>
            <w:r>
              <w:t xml:space="preserve">3</w:t>
            </w:r>
          </w:p>
        </w:tc>
        <w:tc>
          <w:tcPr/>
          <w:p>
            <w:pPr>
              <w:pStyle w:val="Compact"/>
              <w:jc w:val="left"/>
            </w:pPr>
            <w:r>
              <w:t xml:space="preserve">Monthly financial statement preparation (Income Statement, Balance Sheet, and Cash Flow Statement) reviewed and certified by the Lead Accountant for internal management use.</w:t>
            </w:r>
          </w:p>
        </w:tc>
        <w:tc>
          <w:tcPr/>
          <w:p>
            <w:pPr>
              <w:pStyle w:val="Compact"/>
              <w:jc w:val="left"/>
            </w:pPr>
            <w:r>
              <w:t xml:space="preserve">Financial Reporting</w:t>
            </w:r>
          </w:p>
        </w:tc>
        <w:tc>
          <w:tcPr/>
          <w:p>
            <w:pPr>
              <w:pStyle w:val="Compact"/>
              <w:jc w:val="left"/>
            </w:pPr>
            <w:r>
              <w:t xml:space="preserve">10</w:t>
            </w:r>
          </w:p>
        </w:tc>
        <w:tc>
          <w:tcPr/>
          <w:p>
            <w:pPr>
              <w:pStyle w:val="Compact"/>
              <w:jc w:val="left"/>
            </w:pPr>
            <w:r>
              <w:t xml:space="preserve">175.00</w:t>
            </w:r>
          </w:p>
        </w:tc>
        <w:tc>
          <w:tcPr/>
          <w:p>
            <w:pPr>
              <w:pStyle w:val="Compact"/>
              <w:jc w:val="left"/>
            </w:pPr>
            <w:r>
              <w:t xml:space="preserve">1,750.00</w:t>
            </w:r>
          </w:p>
        </w:tc>
      </w:tr>
      <w:tr>
        <w:tc>
          <w:tcPr/>
          <w:p>
            <w:pPr>
              <w:pStyle w:val="Compact"/>
              <w:jc w:val="left"/>
            </w:pPr>
            <w:r>
              <w:t xml:space="preserve">4</w:t>
            </w:r>
          </w:p>
        </w:tc>
        <w:tc>
          <w:tcPr/>
          <w:p>
            <w:pPr>
              <w:pStyle w:val="Compact"/>
              <w:jc w:val="left"/>
            </w:pPr>
            <w:r>
              <w:t xml:space="preserve">Payroll processing for 45 employees, including calculation of Qatar Doha statutory deductions, end-of-service benefits accrual, and submission of wage protection system (WPS) reports.</w:t>
            </w:r>
          </w:p>
        </w:tc>
        <w:tc>
          <w:tcPr/>
          <w:p>
            <w:pPr>
              <w:pStyle w:val="Compact"/>
              <w:jc w:val="left"/>
            </w:pPr>
            <w:r>
              <w:t xml:space="preserve">Payroll &amp; HR</w:t>
            </w:r>
          </w:p>
        </w:tc>
        <w:tc>
          <w:tcPr/>
          <w:p>
            <w:pPr>
              <w:pStyle w:val="Compact"/>
              <w:jc w:val="left"/>
            </w:pPr>
            <w:r>
              <w:t xml:space="preserve">16</w:t>
            </w:r>
          </w:p>
        </w:tc>
        <w:tc>
          <w:tcPr/>
          <w:p>
            <w:pPr>
              <w:pStyle w:val="Compact"/>
              <w:jc w:val="left"/>
            </w:pPr>
            <w:r>
              <w:t xml:space="preserve">150.00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Advisory consultation on corporate tax planning, transfer pricing documentation, and regulatory compliance for the client's multi-branch operations across Qatar Doha and the Northern Governorate.</w:t>
            </w:r>
          </w:p>
        </w:tc>
        <w:tc>
          <w:tcPr/>
          <w:p>
            <w:pPr>
              <w:pStyle w:val="Compact"/>
              <w:jc w:val="left"/>
            </w:pPr>
            <w:r>
              <w:t xml:space="preserve">Tax Advisory</w:t>
            </w:r>
          </w:p>
        </w:tc>
        <w:tc>
          <w:tcPr/>
          <w:p>
            <w:pPr>
              <w:pStyle w:val="Compact"/>
              <w:jc w:val="left"/>
            </w:pPr>
            <w:r>
              <w:t xml:space="preserve">8</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Annual audit preparation support, including compilation of audit schedules, management representation letters, and coordination with the external audit firm engaged by the client's board.</w:t>
            </w:r>
          </w:p>
        </w:tc>
        <w:tc>
          <w:tcPr/>
          <w:p>
            <w:pPr>
              <w:pStyle w:val="Compact"/>
              <w:jc w:val="left"/>
            </w:pPr>
            <w:r>
              <w:t xml:space="preserve">Audit Support</w:t>
            </w:r>
          </w:p>
        </w:tc>
        <w:tc>
          <w:tcPr/>
          <w:p>
            <w:pPr>
              <w:pStyle w:val="Compact"/>
              <w:jc w:val="left"/>
            </w:pPr>
            <w:r>
              <w:t xml:space="preserve">14</w:t>
            </w:r>
          </w:p>
        </w:tc>
        <w:tc>
          <w:tcPr/>
          <w:p>
            <w:pPr>
              <w:pStyle w:val="Compact"/>
              <w:jc w:val="left"/>
            </w:pPr>
            <w:r>
              <w:t xml:space="preserve">175.00</w:t>
            </w:r>
          </w:p>
        </w:tc>
        <w:tc>
          <w:tcPr/>
          <w:p>
            <w:pPr>
              <w:pStyle w:val="Compact"/>
              <w:jc w:val="left"/>
            </w:pPr>
            <w:r>
              <w:t xml:space="preserve">2,450.00</w:t>
            </w:r>
          </w:p>
        </w:tc>
      </w:tr>
      <w:tr>
        <w:tc>
          <w:tcPr/>
          <w:p>
            <w:pPr>
              <w:pStyle w:val="Compact"/>
              <w:jc w:val="left"/>
            </w:pPr>
            <w:r>
              <w:t xml:space="preserve">7</w:t>
            </w:r>
          </w:p>
        </w:tc>
        <w:tc>
          <w:tcPr/>
          <w:p>
            <w:pPr>
              <w:pStyle w:val="Compact"/>
              <w:jc w:val="left"/>
            </w:pPr>
            <w:r>
              <w:t xml:space="preserve">Reconciliation of intercompany transactions between the client's Qatar Doha headquarters and its subsidiary in the Lusail Free Zone, including elimination entries for consolidated reporting.</w:t>
            </w:r>
          </w:p>
        </w:tc>
        <w:tc>
          <w:tcPr/>
          <w:p>
            <w:pPr>
              <w:pStyle w:val="Compact"/>
              <w:jc w:val="left"/>
            </w:pPr>
            <w:r>
              <w:t xml:space="preserve">Intercompany</w:t>
            </w:r>
          </w:p>
        </w:tc>
        <w:tc>
          <w:tcPr/>
          <w:p>
            <w:pPr>
              <w:pStyle w:val="Compact"/>
              <w:jc w:val="left"/>
            </w:pPr>
            <w:r>
              <w:t xml:space="preserve">6</w:t>
            </w:r>
          </w:p>
        </w:tc>
        <w:tc>
          <w:tcPr/>
          <w:p>
            <w:pPr>
              <w:pStyle w:val="Compact"/>
              <w:jc w:val="left"/>
            </w:pPr>
            <w:r>
              <w:t xml:space="preserve">175.00</w:t>
            </w:r>
          </w:p>
        </w:tc>
        <w:tc>
          <w:tcPr/>
          <w:p>
            <w:pPr>
              <w:pStyle w:val="Compact"/>
              <w:jc w:val="left"/>
            </w:pPr>
            <w:r>
              <w:t xml:space="preserve">1,050.00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(QAR)</w:t>
            </w:r>
          </w:p>
        </w:tc>
        <w:tc>
          <w:tcPr/>
          <w:p>
            <w:pPr>
              <w:pStyle w:val="Compact"/>
              <w:jc w:val="left"/>
            </w:pPr>
            <w:r>
              <w:rPr>
                <w:bCs/>
                <w:b/>
              </w:rPr>
              <w:t xml:space="preserve">15,350.00</w:t>
            </w:r>
          </w:p>
        </w:tc>
      </w:tr>
      <w:tr>
        <w:tc>
          <w:tcPr/>
          <w:p>
            <w:pPr>
              <w:pStyle w:val="Compact"/>
              <w:jc w:val="left"/>
            </w:pPr>
            <w:r>
              <w:t xml:space="preserve">VAT @ 0% (Exempt – Professional Services)</w:t>
            </w:r>
          </w:p>
        </w:tc>
        <w:tc>
          <w:tcPr/>
          <w:p>
            <w:pPr>
              <w:pStyle w:val="Compact"/>
              <w:jc w:val="left"/>
            </w:pPr>
            <w:r>
              <w:t xml:space="preserve">0.00</w:t>
            </w:r>
          </w:p>
        </w:tc>
      </w:tr>
      <w:tr>
        <w:tc>
          <w:tcPr/>
          <w:p>
            <w:pPr>
              <w:pStyle w:val="Compact"/>
              <w:jc w:val="left"/>
            </w:pPr>
            <w:r>
              <w:t xml:space="preserve">Discount (Loyalty – 5%)</w:t>
            </w:r>
          </w:p>
        </w:tc>
        <w:tc>
          <w:tcPr/>
          <w:p>
            <w:pPr>
              <w:pStyle w:val="Compact"/>
              <w:jc w:val="left"/>
            </w:pPr>
            <w:r>
              <w:t xml:space="preserve">(767.50)</w:t>
            </w:r>
          </w:p>
        </w:tc>
      </w:tr>
      <w:tr>
        <w:tc>
          <w:tcPr/>
          <w:p>
            <w:pPr>
              <w:pStyle w:val="Compact"/>
              <w:jc w:val="left"/>
            </w:pPr>
            <w:r>
              <w:t xml:space="preserve">TOTAL DUE (QAR)</w:t>
            </w:r>
          </w:p>
        </w:tc>
        <w:tc>
          <w:tcPr/>
          <w:p>
            <w:pPr>
              <w:pStyle w:val="Compact"/>
              <w:jc w:val="left"/>
            </w:pPr>
            <w:r>
              <w:t xml:space="preserve">14,582.50</w:t>
            </w:r>
          </w:p>
        </w:tc>
      </w:tr>
    </w:tbl>
    <w:bookmarkStart w:id="24" w:name="payment-terms-instructions"/>
    <w:p>
      <w:pPr>
        <w:pStyle w:val="Heading3"/>
      </w:pPr>
      <w:r>
        <w:t xml:space="preserve">Payment Terms &amp; Instructions</w:t>
      </w:r>
    </w:p>
    <w:p>
      <w:pPr>
        <w:pStyle w:val="FirstParagraph"/>
      </w:pPr>
      <w:r>
        <w:t xml:space="preserve">This Invoice must be settled in full within</w:t>
      </w:r>
      <w:r>
        <w:t xml:space="preserve"> </w:t>
      </w:r>
      <w:r>
        <w:rPr>
          <w:bCs/>
          <w:b/>
        </w:rPr>
        <w:t xml:space="preserve">15 calendar days</w:t>
      </w:r>
      <w:r>
        <w:t xml:space="preserve"> </w:t>
      </w:r>
      <w:r>
        <w:t xml:space="preserve">from the Invoice date (i.e., on or before 30 June 2025). Payment is to be made in Qatari Riyals (QAR) via bank transfer to the following account:</w:t>
      </w:r>
    </w:p>
    <w:p>
      <w:pPr>
        <w:pStyle w:val="BodyText"/>
      </w:pPr>
      <w:r>
        <w:rPr>
          <w:bCs/>
          <w:b/>
        </w:rPr>
        <w:t xml:space="preserve">Bank:</w:t>
      </w:r>
      <w:r>
        <w:t xml:space="preserve"> </w:t>
      </w:r>
      <w:r>
        <w:t xml:space="preserve">QNB (Qatar National Bank)</w:t>
      </w:r>
    </w:p>
    <w:p>
      <w:pPr>
        <w:pStyle w:val="BodyText"/>
      </w:pPr>
      <w:r>
        <w:rPr>
          <w:bCs/>
          <w:b/>
        </w:rPr>
        <w:t xml:space="preserve">Account Name:</w:t>
      </w:r>
      <w:r>
        <w:t xml:space="preserve"> </w:t>
      </w:r>
      <w:r>
        <w:t xml:space="preserve">Al Rayyan Accounting &amp; Financial Services LLC</w:t>
      </w:r>
    </w:p>
    <w:p>
      <w:pPr>
        <w:pStyle w:val="BodyText"/>
      </w:pPr>
      <w:r>
        <w:rPr>
          <w:bCs/>
          <w:b/>
        </w:rPr>
        <w:t xml:space="preserve">IBAN:</w:t>
      </w:r>
      <w:r>
        <w:t xml:space="preserve"> </w:t>
      </w:r>
      <w:r>
        <w:t xml:space="preserve">QA5800000000000012345678</w:t>
      </w:r>
    </w:p>
    <w:p>
      <w:pPr>
        <w:pStyle w:val="BodyText"/>
      </w:pPr>
      <w:r>
        <w:rPr>
          <w:bCs/>
          <w:b/>
        </w:rPr>
        <w:t xml:space="preserve">SWIFT Code:</w:t>
      </w:r>
      <w:r>
        <w:t xml:space="preserve"> </w:t>
      </w:r>
      <w:r>
        <w:t xml:space="preserve">QNBQAQDO</w:t>
      </w:r>
    </w:p>
    <w:p>
      <w:pPr>
        <w:pStyle w:val="BodyText"/>
      </w:pPr>
      <w:r>
        <w:rPr>
          <w:bCs/>
          <w:b/>
        </w:rPr>
        <w:t xml:space="preserve">Reference:</w:t>
      </w:r>
      <w:r>
        <w:t xml:space="preserve"> </w:t>
      </w:r>
      <w:r>
        <w:t xml:space="preserve">Please quote Invoice No. ARF-2025-00487 in the payment remittance.</w:t>
      </w:r>
    </w:p>
    <w:p>
      <w:pPr>
        <w:pStyle w:val="BodyText"/>
      </w:pPr>
      <w:r>
        <w:t xml:space="preserve">A late payment surcharge of 2% per month will be applied to any outstanding balance beyond the due date, in accordance with the service agreement signed between the Accountant firm and the client.</w:t>
      </w:r>
    </w:p>
    <w:bookmarkEnd w:id="24"/>
    <w:bookmarkStart w:id="25" w:name="additional-notes-terms"/>
    <w:p>
      <w:pPr>
        <w:pStyle w:val="Heading3"/>
      </w:pPr>
      <w:r>
        <w:t xml:space="preserve">Additional Notes &amp; Terms</w:t>
      </w:r>
    </w:p>
    <w:p>
      <w:pPr>
        <w:pStyle w:val="FirstParagraph"/>
      </w:pPr>
      <w:r>
        <w:t xml:space="preserve">1. This Invoice has been prepared and issued by a licensed Accountant registered with the Ministry of Commerce and Industry, State of Qatar, and the Qatar Accountants Association. All services described herein were performed in Doha, Qatar, in accordance with International Financial Reporting Standards (IFRS) and local Qatar Doha regulatory requirements.</w:t>
      </w:r>
    </w:p>
    <w:p>
      <w:pPr>
        <w:pStyle w:val="BodyText"/>
      </w:pPr>
      <w:r>
        <w:t xml:space="preserve">2. The Accountant firm reserves the right to issue a revised Invoice should any clerical error be identified within 7 business days of the original Invoice date. Any such revision will be communicated in writing to the client's designated finance contact.</w:t>
      </w:r>
    </w:p>
    <w:p>
      <w:pPr>
        <w:pStyle w:val="BodyText"/>
      </w:pPr>
      <w:r>
        <w:t xml:space="preserve">3. All financial data, ledgers, and supporting documentation provided by the client remain the property of Al Noor Trading &amp; Logistics WLL. The Accountant firm shall maintain strict confidentiality in compliance with Qatar's data protection regulations and shall not disclose any client information to third parties without written consent.</w:t>
      </w:r>
    </w:p>
    <w:p>
      <w:pPr>
        <w:pStyle w:val="BodyText"/>
      </w:pPr>
      <w:r>
        <w:t xml:space="preserve">4. This Invoice constitutes a binding financial document for the service period stated above. The client acknowledges receipt of all deliverables listed in the services table and confirms that the work performed by the Accountant team meets the agreed scope of services.</w:t>
      </w:r>
    </w:p>
    <w:p>
      <w:pPr>
        <w:pStyle w:val="BodyText"/>
      </w:pPr>
      <w:r>
        <w:t xml:space="preserve">5. For any disputes regarding this Invoice, both parties agree to resolve matters through amicable negotiation in Doha, Qatar, before resorting to formal arbitration under the Qatar Arbitration Centre rules.</w:t>
      </w:r>
    </w:p>
    <w:bookmarkEnd w:id="25"/>
    <w:p>
      <w:pPr>
        <w:pStyle w:val="BodyText"/>
      </w:pPr>
      <w:r>
        <w:rPr>
          <w:bCs/>
          <w:b/>
        </w:rPr>
        <w:t xml:space="preserve">Al Rayyan Accounting &amp; Financial Services LLC</w:t>
      </w:r>
      <w:r>
        <w:t xml:space="preserve"> </w:t>
      </w:r>
      <w:r>
        <w:t xml:space="preserve">– Your Trusted Accountant Partner in Qatar Doha</w:t>
      </w:r>
    </w:p>
    <w:p>
      <w:pPr>
        <w:pStyle w:val="BodyText"/>
      </w:pPr>
      <w:r>
        <w:t xml:space="preserve">Doha Financial Centre, Sheikh Jassim Road, Doha, Qatar | P.O. Box 12345</w:t>
      </w:r>
    </w:p>
    <w:p>
      <w:pPr>
        <w:pStyle w:val="BodyText"/>
      </w:pPr>
      <w:r>
        <w:t xml:space="preserve">www.alrayyan-afs.qa | billing@alrayyan-afs.qa | +974-4455-6677</w:t>
      </w:r>
    </w:p>
    <w:p>
      <w:pPr>
        <w:pStyle w:val="BodyText"/>
      </w:pPr>
      <w:r>
        <w:t xml:space="preserve">This is a computer-generated Invoice and does not require a physical signature. It is valid as an electronic document under Qatar's Electronic Transactions Law.</w:t>
      </w:r>
    </w:p>
    <w:p>
      <w:pPr>
        <w:pStyle w:val="BodyText"/>
      </w:pPr>
      <w:r>
        <w:t xml:space="preserve">Invoice ARF-2025-00487 |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Accountant Services - Qatar Doha</dc:title>
  <dc:creator/>
  <dc:language>en</dc:language>
  <cp:keywords/>
  <dcterms:created xsi:type="dcterms:W3CDTF">2026-10-10T06:21:42Z</dcterms:created>
  <dcterms:modified xsi:type="dcterms:W3CDTF">2026-10-10T06:21:42Z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