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Accounting</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moscow-capital-accounting-llp"/>
    <w:p>
      <w:pPr>
        <w:pStyle w:val="Heading1"/>
      </w:pPr>
      <w:r>
        <w:t xml:space="preserve">Moscow Capital Accounting LLP</w:t>
      </w:r>
    </w:p>
    <w:p>
      <w:pPr>
        <w:pStyle w:val="FirstParagraph"/>
      </w:pPr>
      <w:r>
        <w:t xml:space="preserve">12 Tverskaya Street, Building 4, Floor 7</w:t>
      </w:r>
    </w:p>
    <w:p>
      <w:pPr>
        <w:pStyle w:val="BodyText"/>
      </w:pPr>
      <w:r>
        <w:t xml:space="preserve">Moscow, 125009, Russian Federation</w:t>
      </w:r>
    </w:p>
    <w:p>
      <w:pPr>
        <w:pStyle w:val="BodyText"/>
      </w:pPr>
      <w:r>
        <w:t xml:space="preserve">Taxpayer Identification Number (INN): 7701234567</w:t>
      </w:r>
    </w:p>
    <w:p>
      <w:pPr>
        <w:pStyle w:val="BodyText"/>
      </w:pPr>
      <w:r>
        <w:t xml:space="preserve">Registration Number (OGRN): 1157746001234</w:t>
      </w:r>
    </w:p>
    <w:p>
      <w:pPr>
        <w:pStyle w:val="BodyText"/>
      </w:pPr>
      <w:r>
        <w:t xml:space="preserve">Phone: +7 (495) 123-4567 | Email: billing@moscowcapital-acc.ru</w:t>
      </w:r>
    </w:p>
    <w:bookmarkEnd w:id="20"/>
    <w:bookmarkStart w:id="21" w:name="invoice"/>
    <w:p>
      <w:pPr>
        <w:pStyle w:val="Heading2"/>
      </w:pPr>
      <w:r>
        <w:t xml:space="preserve">INVOICE</w:t>
      </w:r>
    </w:p>
    <w:p>
      <w:pPr>
        <w:pStyle w:val="FirstParagraph"/>
      </w:pPr>
      <w:r>
        <w:t xml:space="preserve">Invoice No: MCA-2025-00487</w:t>
      </w:r>
    </w:p>
    <w:p>
      <w:pPr>
        <w:pStyle w:val="BodyText"/>
      </w:pPr>
      <w:r>
        <w:t xml:space="preserve">Date of Issue: 15 June 2025</w:t>
      </w:r>
    </w:p>
    <w:p>
      <w:pPr>
        <w:pStyle w:val="BodyText"/>
      </w:pPr>
      <w:r>
        <w:t xml:space="preserve">Due Date: 30 June 2025</w:t>
      </w:r>
    </w:p>
    <w:p>
      <w:pPr>
        <w:pStyle w:val="BodyText"/>
      </w:pPr>
      <w:r>
        <w:t xml:space="preserve">Currency: Russian Ruble (RUB)</w:t>
      </w:r>
    </w:p>
    <w:bookmarkEnd w:id="21"/>
    <w:bookmarkStart w:id="22" w:name="billed-to-client"/>
    <w:p>
      <w:pPr>
        <w:pStyle w:val="Heading3"/>
      </w:pPr>
      <w:r>
        <w:t xml:space="preserve">Billed To (Client)</w:t>
      </w:r>
    </w:p>
    <w:p>
      <w:pPr>
        <w:pStyle w:val="FirstParagraph"/>
      </w:pPr>
      <w:r>
        <w:rPr>
          <w:bCs/>
          <w:b/>
        </w:rPr>
        <w:t xml:space="preserve">St. Petersburg Trading House OOO</w:t>
      </w:r>
    </w:p>
    <w:p>
      <w:pPr>
        <w:pStyle w:val="BodyText"/>
      </w:pPr>
      <w:r>
        <w:t xml:space="preserve">45 Leningradsky Prospekt, Office 210</w:t>
      </w:r>
    </w:p>
    <w:p>
      <w:pPr>
        <w:pStyle w:val="BodyText"/>
      </w:pPr>
      <w:r>
        <w:t xml:space="preserve">Moscow, 119021, Russian Federation</w:t>
      </w:r>
    </w:p>
    <w:p>
      <w:pPr>
        <w:pStyle w:val="BodyText"/>
      </w:pPr>
      <w:r>
        <w:t xml:space="preserve">INN: 7709876543 | OGRN: 1187746009876</w:t>
      </w:r>
    </w:p>
    <w:p>
      <w:pPr>
        <w:pStyle w:val="BodyText"/>
      </w:pPr>
      <w:r>
        <w:t xml:space="preserve">Attn: Mr. Dmitry Volkov, Chief Financial Officer</w:t>
      </w:r>
    </w:p>
    <w:bookmarkEnd w:id="22"/>
    <w:bookmarkStart w:id="23" w:name="invoice-reference"/>
    <w:p>
      <w:pPr>
        <w:pStyle w:val="Heading3"/>
      </w:pPr>
      <w:r>
        <w:t xml:space="preserve">Invoice Reference</w:t>
      </w:r>
    </w:p>
    <w:p>
      <w:pPr>
        <w:pStyle w:val="FirstParagraph"/>
      </w:pPr>
      <w:r>
        <w:t xml:space="preserve">Contract No: CTR-2025-0112</w:t>
      </w:r>
    </w:p>
    <w:p>
      <w:pPr>
        <w:pStyle w:val="BodyText"/>
      </w:pPr>
      <w:r>
        <w:t xml:space="preserve">Service Period: 01 May 2025 – 31 May 2025</w:t>
      </w:r>
    </w:p>
    <w:p>
      <w:pPr>
        <w:pStyle w:val="BodyText"/>
      </w:pPr>
      <w:r>
        <w:t xml:space="preserve">Accountant Assigned: Elena S. Petrova</w:t>
      </w:r>
    </w:p>
    <w:p>
      <w:pPr>
        <w:pStyle w:val="BodyText"/>
      </w:pPr>
      <w:r>
        <w:t xml:space="preserve">Professional License: RUS-ACC-2019-44521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Accounting Service</w:t>
            </w:r>
          </w:p>
        </w:tc>
        <w:tc>
          <w:tcPr/>
          <w:p>
            <w:pPr>
              <w:pStyle w:val="Compact"/>
              <w:jc w:val="left"/>
            </w:pPr>
            <w:r>
              <w:t xml:space="preserve">Rate (RUB)</w:t>
            </w:r>
          </w:p>
        </w:tc>
        <w:tc>
          <w:tcPr/>
          <w:p>
            <w:pPr>
              <w:pStyle w:val="Compact"/>
              <w:jc w:val="left"/>
            </w:pPr>
            <w:r>
              <w:t xml:space="preserve">Hours</w:t>
            </w:r>
          </w:p>
        </w:tc>
        <w:tc>
          <w:tcPr/>
          <w:p>
            <w:pPr>
              <w:pStyle w:val="Compact"/>
              <w:jc w:val="left"/>
            </w:pPr>
            <w:r>
              <w:t xml:space="preserve">Amount (RUB)</w:t>
            </w:r>
          </w:p>
        </w:tc>
        <w:tc>
          <w:tcPr/>
          <w:p>
            <w:pPr>
              <w:pStyle w:val="Compact"/>
              <w:jc w:val="left"/>
            </w:pPr>
            <w:r>
              <w:t xml:space="preserve">VAT 20%</w:t>
            </w:r>
          </w:p>
        </w:tc>
      </w:tr>
      <w:tr>
        <w:tc>
          <w:tcPr/>
          <w:p>
            <w:pPr>
              <w:pStyle w:val="Compact"/>
              <w:jc w:val="left"/>
            </w:pPr>
            <w:r>
              <w:t xml:space="preserve">1</w:t>
            </w:r>
          </w:p>
        </w:tc>
        <w:tc>
          <w:tcPr/>
          <w:p>
            <w:pPr>
              <w:pStyle w:val="Compact"/>
              <w:jc w:val="left"/>
            </w:pPr>
            <w:r>
              <w:t xml:space="preserve">Monthly financial statement preparation and reconciliation for the accounting period in Russia Moscow jurisdiction, including balance sheet, income statement, and cash flow report</w:t>
            </w:r>
          </w:p>
        </w:tc>
        <w:tc>
          <w:tcPr/>
          <w:p>
            <w:pPr>
              <w:pStyle w:val="Compact"/>
              <w:jc w:val="left"/>
            </w:pPr>
            <w:r>
              <w:t xml:space="preserve">3,500.00</w:t>
            </w:r>
          </w:p>
        </w:tc>
        <w:tc>
          <w:tcPr/>
          <w:p>
            <w:pPr>
              <w:pStyle w:val="Compact"/>
              <w:jc w:val="left"/>
            </w:pPr>
            <w:r>
              <w:t xml:space="preserve">12</w:t>
            </w:r>
          </w:p>
        </w:tc>
        <w:tc>
          <w:tcPr/>
          <w:p>
            <w:pPr>
              <w:pStyle w:val="Compact"/>
              <w:jc w:val="left"/>
            </w:pPr>
            <w:r>
              <w:t xml:space="preserve">42,000.00</w:t>
            </w:r>
          </w:p>
        </w:tc>
        <w:tc>
          <w:tcPr/>
          <w:p>
            <w:pPr>
              <w:pStyle w:val="Compact"/>
              <w:jc w:val="left"/>
            </w:pPr>
            <w:r>
              <w:t xml:space="preserve">8,400.00</w:t>
            </w:r>
          </w:p>
        </w:tc>
      </w:tr>
      <w:tr>
        <w:tc>
          <w:tcPr/>
          <w:p>
            <w:pPr>
              <w:pStyle w:val="Compact"/>
              <w:jc w:val="left"/>
            </w:pPr>
            <w:r>
              <w:t xml:space="preserve">2</w:t>
            </w:r>
          </w:p>
        </w:tc>
        <w:tc>
          <w:tcPr/>
          <w:p>
            <w:pPr>
              <w:pStyle w:val="Compact"/>
              <w:jc w:val="left"/>
            </w:pPr>
            <w:r>
              <w:t xml:space="preserve">Preparation and filing of quarterly tax returns (VAT, profit tax, and personal income tax) with the Federal Tax Service of Russia Moscow district office</w:t>
            </w:r>
          </w:p>
        </w:tc>
        <w:tc>
          <w:tcPr/>
          <w:p>
            <w:pPr>
              <w:pStyle w:val="Compact"/>
              <w:jc w:val="left"/>
            </w:pPr>
            <w:r>
              <w:t xml:space="preserve">4,200.00</w:t>
            </w:r>
          </w:p>
        </w:tc>
        <w:tc>
          <w:tcPr/>
          <w:p>
            <w:pPr>
              <w:pStyle w:val="Compact"/>
              <w:jc w:val="left"/>
            </w:pPr>
            <w:r>
              <w:t xml:space="preserve">8</w:t>
            </w:r>
          </w:p>
        </w:tc>
        <w:tc>
          <w:tcPr/>
          <w:p>
            <w:pPr>
              <w:pStyle w:val="Compact"/>
              <w:jc w:val="left"/>
            </w:pPr>
            <w:r>
              <w:t xml:space="preserve">33,600.00</w:t>
            </w:r>
          </w:p>
        </w:tc>
        <w:tc>
          <w:tcPr/>
          <w:p>
            <w:pPr>
              <w:pStyle w:val="Compact"/>
              <w:jc w:val="left"/>
            </w:pPr>
            <w:r>
              <w:t xml:space="preserve">6,720.00</w:t>
            </w:r>
          </w:p>
        </w:tc>
      </w:tr>
      <w:tr>
        <w:tc>
          <w:tcPr/>
          <w:p>
            <w:pPr>
              <w:pStyle w:val="Compact"/>
              <w:jc w:val="left"/>
            </w:pPr>
            <w:r>
              <w:t xml:space="preserve">3</w:t>
            </w:r>
          </w:p>
        </w:tc>
        <w:tc>
          <w:tcPr/>
          <w:p>
            <w:pPr>
              <w:pStyle w:val="Compact"/>
              <w:jc w:val="left"/>
            </w:pPr>
            <w:r>
              <w:t xml:space="preserve">Payroll accounting and social insurance contribution calculations for 45 employees, compliant with Russian Federation labor and tax legislation</w:t>
            </w:r>
          </w:p>
        </w:tc>
        <w:tc>
          <w:tcPr/>
          <w:p>
            <w:pPr>
              <w:pStyle w:val="Compact"/>
              <w:jc w:val="left"/>
            </w:pPr>
            <w:r>
              <w:t xml:space="preserve">2,800.00</w:t>
            </w:r>
          </w:p>
        </w:tc>
        <w:tc>
          <w:tcPr/>
          <w:p>
            <w:pPr>
              <w:pStyle w:val="Compact"/>
              <w:jc w:val="left"/>
            </w:pPr>
            <w:r>
              <w:t xml:space="preserve">16</w:t>
            </w:r>
          </w:p>
        </w:tc>
        <w:tc>
          <w:tcPr/>
          <w:p>
            <w:pPr>
              <w:pStyle w:val="Compact"/>
              <w:jc w:val="left"/>
            </w:pPr>
            <w:r>
              <w:t xml:space="preserve">44,800.00</w:t>
            </w:r>
          </w:p>
        </w:tc>
        <w:tc>
          <w:tcPr/>
          <w:p>
            <w:pPr>
              <w:pStyle w:val="Compact"/>
              <w:jc w:val="left"/>
            </w:pPr>
            <w:r>
              <w:t xml:space="preserve">8,960.00</w:t>
            </w:r>
          </w:p>
        </w:tc>
      </w:tr>
      <w:tr>
        <w:tc>
          <w:tcPr/>
          <w:p>
            <w:pPr>
              <w:pStyle w:val="Compact"/>
              <w:jc w:val="left"/>
            </w:pPr>
            <w:r>
              <w:t xml:space="preserve">4</w:t>
            </w:r>
          </w:p>
        </w:tc>
        <w:tc>
          <w:tcPr/>
          <w:p>
            <w:pPr>
              <w:pStyle w:val="Compact"/>
              <w:jc w:val="left"/>
            </w:pPr>
            <w:r>
              <w:t xml:space="preserve">Bank reconciliation and accounts payable/receivable management for all operating accounts held with Sberbank Moscow branch</w:t>
            </w:r>
          </w:p>
        </w:tc>
        <w:tc>
          <w:tcPr/>
          <w:p>
            <w:pPr>
              <w:pStyle w:val="Compact"/>
              <w:jc w:val="left"/>
            </w:pPr>
            <w:r>
              <w:t xml:space="preserve">2,500.00</w:t>
            </w:r>
          </w:p>
        </w:tc>
        <w:tc>
          <w:tcPr/>
          <w:p>
            <w:pPr>
              <w:pStyle w:val="Compact"/>
              <w:jc w:val="left"/>
            </w:pPr>
            <w:r>
              <w:t xml:space="preserve">10</w:t>
            </w:r>
          </w:p>
        </w:tc>
        <w:tc>
          <w:tcPr/>
          <w:p>
            <w:pPr>
              <w:pStyle w:val="Compact"/>
              <w:jc w:val="left"/>
            </w:pPr>
            <w:r>
              <w:t xml:space="preserve">25,000.00</w:t>
            </w:r>
          </w:p>
        </w:tc>
        <w:tc>
          <w:tcPr/>
          <w:p>
            <w:pPr>
              <w:pStyle w:val="Compact"/>
              <w:jc w:val="left"/>
            </w:pPr>
            <w:r>
              <w:t xml:space="preserve">5,000.00</w:t>
            </w:r>
          </w:p>
        </w:tc>
      </w:tr>
      <w:tr>
        <w:tc>
          <w:tcPr/>
          <w:p>
            <w:pPr>
              <w:pStyle w:val="Compact"/>
              <w:jc w:val="left"/>
            </w:pPr>
            <w:r>
              <w:t xml:space="preserve">5</w:t>
            </w:r>
          </w:p>
        </w:tc>
        <w:tc>
          <w:tcPr/>
          <w:p>
            <w:pPr>
              <w:pStyle w:val="Compact"/>
              <w:jc w:val="left"/>
            </w:pPr>
            <w:r>
              <w:t xml:space="preserve">Advisory consultation on tax optimization strategies and compliance with updated Russian Federation accounting standards (RAS) effective 2025</w:t>
            </w:r>
          </w:p>
        </w:tc>
        <w:tc>
          <w:tcPr/>
          <w:p>
            <w:pPr>
              <w:pStyle w:val="Compact"/>
              <w:jc w:val="left"/>
            </w:pPr>
            <w:r>
              <w:t xml:space="preserve">5,000.00</w:t>
            </w:r>
          </w:p>
        </w:tc>
        <w:tc>
          <w:tcPr/>
          <w:p>
            <w:pPr>
              <w:pStyle w:val="Compact"/>
              <w:jc w:val="left"/>
            </w:pPr>
            <w:r>
              <w:t xml:space="preserve">4</w:t>
            </w:r>
          </w:p>
        </w:tc>
        <w:tc>
          <w:tcPr/>
          <w:p>
            <w:pPr>
              <w:pStyle w:val="Compact"/>
              <w:jc w:val="left"/>
            </w:pPr>
            <w:r>
              <w:t xml:space="preserve">20,000.00</w:t>
            </w:r>
          </w:p>
        </w:tc>
        <w:tc>
          <w:tcPr/>
          <w:p>
            <w:pPr>
              <w:pStyle w:val="Compact"/>
              <w:jc w:val="left"/>
            </w:pPr>
            <w:r>
              <w:t xml:space="preserve">4,000.00</w:t>
            </w:r>
          </w:p>
        </w:tc>
      </w:tr>
      <w:tr>
        <w:tc>
          <w:tcPr/>
          <w:p>
            <w:pPr>
              <w:pStyle w:val="Compact"/>
              <w:jc w:val="left"/>
            </w:pPr>
            <w:r>
              <w:t xml:space="preserve">6</w:t>
            </w:r>
          </w:p>
        </w:tc>
        <w:tc>
          <w:tcPr/>
          <w:p>
            <w:pPr>
              <w:pStyle w:val="Compact"/>
              <w:jc w:val="left"/>
            </w:pPr>
            <w:r>
              <w:t xml:space="preserve">Preparation of internal audit documentation and support for the annual external audit conducted by a certified audit firm registered in Russia Moscow</w:t>
            </w:r>
          </w:p>
        </w:tc>
        <w:tc>
          <w:tcPr/>
          <w:p>
            <w:pPr>
              <w:pStyle w:val="Compact"/>
              <w:jc w:val="left"/>
            </w:pPr>
            <w:r>
              <w:t xml:space="preserve">3,800.00</w:t>
            </w:r>
          </w:p>
        </w:tc>
        <w:tc>
          <w:tcPr/>
          <w:p>
            <w:pPr>
              <w:pStyle w:val="Compact"/>
              <w:jc w:val="left"/>
            </w:pPr>
            <w:r>
              <w:t xml:space="preserve">6</w:t>
            </w:r>
          </w:p>
        </w:tc>
        <w:tc>
          <w:tcPr/>
          <w:p>
            <w:pPr>
              <w:pStyle w:val="Compact"/>
              <w:jc w:val="left"/>
            </w:pPr>
            <w:r>
              <w:t xml:space="preserve">22,800.00</w:t>
            </w:r>
          </w:p>
        </w:tc>
        <w:tc>
          <w:tcPr/>
          <w:p>
            <w:pPr>
              <w:pStyle w:val="Compact"/>
              <w:jc w:val="left"/>
            </w:pPr>
            <w:r>
              <w:t xml:space="preserve">4,560.00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188,200.00 RUB</w:t>
            </w:r>
          </w:p>
        </w:tc>
      </w:tr>
      <w:tr>
        <w:tc>
          <w:tcPr/>
          <w:p>
            <w:pPr>
              <w:pStyle w:val="Compact"/>
              <w:jc w:val="left"/>
            </w:pPr>
            <w:r>
              <w:t xml:space="preserve">VAT (20%)</w:t>
            </w:r>
          </w:p>
        </w:tc>
        <w:tc>
          <w:tcPr/>
          <w:p>
            <w:pPr>
              <w:pStyle w:val="Compact"/>
              <w:jc w:val="right"/>
            </w:pPr>
            <w:r>
              <w:t xml:space="preserve">37,640.00 RUB</w:t>
            </w:r>
          </w:p>
        </w:tc>
      </w:tr>
      <w:tr>
        <w:tc>
          <w:tcPr/>
          <w:p>
            <w:pPr>
              <w:pStyle w:val="Compact"/>
              <w:jc w:val="left"/>
            </w:pPr>
            <w:r>
              <w:t xml:space="preserve">Discount (Early Payment 5%)</w:t>
            </w:r>
          </w:p>
        </w:tc>
        <w:tc>
          <w:tcPr/>
          <w:p>
            <w:pPr>
              <w:pStyle w:val="Compact"/>
              <w:jc w:val="right"/>
            </w:pPr>
            <w:r>
              <w:t xml:space="preserve">-9,410.00 RUB</w:t>
            </w:r>
          </w:p>
        </w:tc>
      </w:tr>
      <w:tr>
        <w:tc>
          <w:tcPr/>
          <w:p>
            <w:pPr>
              <w:pStyle w:val="Compact"/>
              <w:jc w:val="left"/>
            </w:pPr>
            <w:r>
              <w:t xml:space="preserve">TOTAL AMOUNT DUE</w:t>
            </w:r>
          </w:p>
        </w:tc>
        <w:tc>
          <w:tcPr/>
          <w:p>
            <w:pPr>
              <w:pStyle w:val="Compact"/>
              <w:jc w:val="right"/>
            </w:pPr>
            <w:r>
              <w:t xml:space="preserve">216,430.00 RUB</w:t>
            </w:r>
          </w:p>
        </w:tc>
      </w:tr>
    </w:tbl>
    <w:bookmarkStart w:id="24" w:name="payment-terms-and-instructions"/>
    <w:p>
      <w:pPr>
        <w:pStyle w:val="Heading3"/>
      </w:pPr>
      <w:r>
        <w:t xml:space="preserve">Payment Terms and Instructions</w:t>
      </w:r>
    </w:p>
    <w:p>
      <w:pPr>
        <w:pStyle w:val="FirstParagraph"/>
      </w:pPr>
      <w:r>
        <w:t xml:space="preserve">This Invoice must be settled in full within fifteen (15) calendar days from the date of issue, no later than 30 June 2025. Payment shall be made in Russian Rubles (RUB) via bank transfer to the following account of Moscow Capital Accounting LLP:</w:t>
      </w:r>
    </w:p>
    <w:p>
      <w:pPr>
        <w:pStyle w:val="BodyText"/>
      </w:pPr>
      <w:r>
        <w:rPr>
          <w:bCs/>
          <w:b/>
        </w:rPr>
        <w:t xml:space="preserve">Bank:</w:t>
      </w:r>
      <w:r>
        <w:t xml:space="preserve"> </w:t>
      </w:r>
      <w:r>
        <w:t xml:space="preserve">PJSC Sberbank, Moscow Main Branch</w:t>
      </w:r>
    </w:p>
    <w:p>
      <w:pPr>
        <w:pStyle w:val="BodyText"/>
      </w:pPr>
      <w:r>
        <w:rPr>
          <w:bCs/>
          <w:b/>
        </w:rPr>
        <w:t xml:space="preserve">Account Number (R/S):</w:t>
      </w:r>
      <w:r>
        <w:t xml:space="preserve"> </w:t>
      </w:r>
      <w:r>
        <w:t xml:space="preserve">40702810400000012345</w:t>
      </w:r>
    </w:p>
    <w:p>
      <w:pPr>
        <w:pStyle w:val="BodyText"/>
      </w:pPr>
      <w:r>
        <w:rPr>
          <w:bCs/>
          <w:b/>
        </w:rPr>
        <w:t xml:space="preserve">Correspondent Account (K/S):</w:t>
      </w:r>
      <w:r>
        <w:t xml:space="preserve"> </w:t>
      </w:r>
      <w:r>
        <w:t xml:space="preserve">30101810400000000603</w:t>
      </w:r>
    </w:p>
    <w:p>
      <w:pPr>
        <w:pStyle w:val="BodyText"/>
      </w:pPr>
      <w:r>
        <w:rPr>
          <w:bCs/>
          <w:b/>
        </w:rPr>
        <w:t xml:space="preserve">BIC/SWIFT:</w:t>
      </w:r>
      <w:r>
        <w:t xml:space="preserve"> </w:t>
      </w:r>
      <w:r>
        <w:t xml:space="preserve">SABRRUMM</w:t>
      </w:r>
    </w:p>
    <w:p>
      <w:pPr>
        <w:pStyle w:val="BodyText"/>
      </w:pPr>
      <w:r>
        <w:rPr>
          <w:bCs/>
          <w:b/>
        </w:rPr>
        <w:t xml:space="preserve">Payment Reference:</w:t>
      </w:r>
      <w:r>
        <w:t xml:space="preserve"> </w:t>
      </w:r>
      <w:r>
        <w:t xml:space="preserve">Invoice MCA-2025-00487, Contract CTR-2025-0112</w:t>
      </w:r>
    </w:p>
    <w:p>
      <w:pPr>
        <w:pStyle w:val="BodyText"/>
      </w:pPr>
      <w:r>
        <w:t xml:space="preserve">Please note that a late payment penalty of 0.1% per calendar day will be applied to any outstanding balance after the due date, in accordance with Article 317.1 of the Civil Code of the Russian Federation. The Accountant firm reserves the right to suspend all ongoing accounting services until full payment of this Invoice is received.</w:t>
      </w:r>
    </w:p>
    <w:bookmarkEnd w:id="24"/>
    <w:bookmarkStart w:id="25" w:name="terms-conditions-and-legal-notice"/>
    <w:p>
      <w:pPr>
        <w:pStyle w:val="Heading3"/>
      </w:pPr>
      <w:r>
        <w:t xml:space="preserve">Terms, Conditions, and Legal Notice</w:t>
      </w:r>
    </w:p>
    <w:p>
      <w:pPr>
        <w:pStyle w:val="FirstParagraph"/>
      </w:pPr>
      <w:r>
        <w:t xml:space="preserve">1. This Invoice is issued in accordance with the Federal Law of the Russian Federation No. 402-FZ "On Accounting" dated 06 December 2011, and all applicable regulations of the Ministry of Finance of the Russian Federation governing the preparation and issuance of primary accounting documents in Russia Moscow and throughout the Russian Federation.</w:t>
      </w:r>
    </w:p>
    <w:p>
      <w:pPr>
        <w:pStyle w:val="BodyText"/>
      </w:pPr>
      <w:r>
        <w:t xml:space="preserve">2. The services described in this Invoice were performed by a licensed Accountant, Elena S. Petrova, who holds a valid professional certification issued by the Russian Accounting Chamber (RAC) and is registered in the Moscow regional registry of certified accountants. All work was conducted in strict compliance with Russian Accounting Standards (RAS) and International Financial Reporting Standards (IFRS) where applicable.</w:t>
      </w:r>
    </w:p>
    <w:p>
      <w:pPr>
        <w:pStyle w:val="BodyText"/>
      </w:pPr>
      <w:r>
        <w:t xml:space="preserve">3. This Invoice constitutes a primary accounting document (первичный учетный документ) and must be retained by the client for a minimum of five (5) years in accordance with Article 29 of Federal Law No. 402-FZ. The client is responsible for the proper storage and archiving of this Invoice and all related supporting documentation.</w:t>
      </w:r>
    </w:p>
    <w:p>
      <w:pPr>
        <w:pStyle w:val="BodyText"/>
      </w:pPr>
      <w:r>
        <w:t xml:space="preserve">4. All accounting services rendered under this Invoice were performed at the registered office of Moscow Capital Accounting LLP located in the Central Administrative District of Russia Moscow. Any disputes arising from this Invoice shall be resolved in the Arbitration Court of the City of Moscow, in accordance with the Arbitration Procedure Code of the Russian Federation.</w:t>
      </w:r>
    </w:p>
    <w:p>
      <w:pPr>
        <w:pStyle w:val="BodyText"/>
      </w:pPr>
      <w:r>
        <w:t xml:space="preserve">5. The Accountant firm warrants that all financial data, tax calculations, and reporting documents prepared under this Invoice are accurate to the best of professional judgment based on the source documents provided by the client. The firm shall not be held liable for discrepancies arising from incomplete or inaccurate information supplied by the client.</w:t>
      </w:r>
    </w:p>
    <w:p>
      <w:pPr>
        <w:pStyle w:val="BodyText"/>
      </w:pPr>
      <w:r>
        <w:t xml:space="preserve">6. This Invoice is valid for a period of thirty (30) days from the date of issue. After this period, the Accountant firm reserves the right to reissue the Invoice with updated rates if applicable tax legislation or regulatory requirements in Russia Moscow have changed.</w:t>
      </w:r>
    </w:p>
    <w:bookmarkEnd w:id="25"/>
    <w:p>
      <w:pPr>
        <w:pStyle w:val="BodyText"/>
      </w:pPr>
      <w:r>
        <w:rPr>
          <w:bCs/>
          <w:b/>
        </w:rPr>
        <w:t xml:space="preserve">Elena S. Petrova</w:t>
      </w:r>
      <w:r>
        <w:br/>
      </w:r>
      <w:r>
        <w:t xml:space="preserve">Lead Accountant</w:t>
      </w:r>
      <w:r>
        <w:br/>
      </w:r>
      <w:r>
        <w:t xml:space="preserve">Moscow Capital Accounting LLP</w:t>
      </w:r>
      <w:r>
        <w:br/>
      </w:r>
      <w:r>
        <w:t xml:space="preserve">Seal and Signature</w:t>
      </w:r>
    </w:p>
    <w:p>
      <w:pPr>
        <w:pStyle w:val="BodyText"/>
      </w:pPr>
      <w:r>
        <w:rPr>
          <w:bCs/>
          <w:b/>
        </w:rPr>
        <w:t xml:space="preserve">Dmitry A. Volkov</w:t>
      </w:r>
      <w:r>
        <w:br/>
      </w:r>
      <w:r>
        <w:t xml:space="preserve">Authorized Representative</w:t>
      </w:r>
      <w:r>
        <w:br/>
      </w:r>
      <w:r>
        <w:t xml:space="preserve">St. Petersburg Trading House OOO</w:t>
      </w:r>
      <w:r>
        <w:br/>
      </w:r>
      <w:r>
        <w:t xml:space="preserve">Seal and Signature</w:t>
      </w:r>
    </w:p>
    <w:p>
      <w:pPr>
        <w:pStyle w:val="BodyText"/>
      </w:pPr>
      <w:r>
        <w:t xml:space="preserve">This Invoice was generated electronically and is valid without a physical seal in accordance with Federal Law No. 63-FZ "On Electronic Signature" dated 06 April 2011. Document ID: MCA-INV-2025-00487-RUS-MOW. Moscow Capital Accounting LLP, Russia Moscow. © 2025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Accounting Services - Russia Moscow</dc:title>
  <dc:creator/>
  <dc:language>en</dc:language>
  <cp:keywords/>
  <dcterms:created xsi:type="dcterms:W3CDTF">2026-10-10T11:30:58Z</dcterms:created>
  <dcterms:modified xsi:type="dcterms:W3CDTF">2026-10-10T11:30:58Z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