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Accounting</w:t>
      </w:r>
      <w:r>
        <w:t xml:space="preserve"> </w:t>
      </w:r>
      <w:r>
        <w:t xml:space="preserve">Services</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spb-accounting-financial-solutions-llc"/>
    <w:p>
      <w:pPr>
        <w:pStyle w:val="Heading1"/>
      </w:pPr>
      <w:r>
        <w:t xml:space="preserve">SPb Accounting &amp; Financial Solutions LLC</w:t>
      </w:r>
    </w:p>
    <w:p>
      <w:pPr>
        <w:pStyle w:val="FirstParagraph"/>
      </w:pPr>
      <w:r>
        <w:t xml:space="preserve">12 Nevsky Prospekt, Office 47, 2nd Floor</w:t>
      </w:r>
    </w:p>
    <w:p>
      <w:pPr>
        <w:pStyle w:val="BodyText"/>
      </w:pPr>
      <w:r>
        <w:t xml:space="preserve">Saint Petersburg, 191025, Russian Federation</w:t>
      </w:r>
    </w:p>
    <w:p>
      <w:pPr>
        <w:pStyle w:val="BodyText"/>
      </w:pPr>
      <w:r>
        <w:t xml:space="preserve">Taxpayer Identification Number (INN): 7805432109</w:t>
      </w:r>
    </w:p>
    <w:p>
      <w:pPr>
        <w:pStyle w:val="BodyText"/>
      </w:pPr>
      <w:r>
        <w:t xml:space="preserve">State Registration Number (OGRN): 1157847001234</w:t>
      </w:r>
    </w:p>
    <w:p>
      <w:pPr>
        <w:pStyle w:val="BodyText"/>
      </w:pPr>
      <w:r>
        <w:t xml:space="preserve">Phone: +7 (812) 555-0147 | Email: billing@spb-accounting.ru</w:t>
      </w:r>
    </w:p>
    <w:p>
      <w:pPr>
        <w:pStyle w:val="BodyText"/>
      </w:pPr>
      <w:r>
        <w:t xml:space="preserve">Licensed Accountant Firm</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SPB-2025-04871</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p>
      <w:pPr>
        <w:pStyle w:val="BodyText"/>
      </w:pPr>
      <w:r>
        <w:rPr>
          <w:bCs/>
          <w:b/>
        </w:rPr>
        <w:t xml:space="preserve">Currency:</w:t>
      </w:r>
      <w:r>
        <w:t xml:space="preserve"> </w:t>
      </w:r>
      <w:r>
        <w:t xml:space="preserve">Russian Ruble (RUB)</w:t>
      </w:r>
    </w:p>
    <w:bookmarkEnd w:id="21"/>
    <w:bookmarkStart w:id="22" w:name="billed-by-accountant-provider"/>
    <w:p>
      <w:pPr>
        <w:pStyle w:val="Heading3"/>
      </w:pPr>
      <w:r>
        <w:t xml:space="preserve">Billed By (Accountant Provider)</w:t>
      </w:r>
    </w:p>
    <w:p>
      <w:pPr>
        <w:pStyle w:val="FirstParagraph"/>
      </w:pPr>
      <w:r>
        <w:rPr>
          <w:bCs/>
          <w:b/>
        </w:rPr>
        <w:t xml:space="preserve">SPb Accounting &amp; Financial Solutions LLC</w:t>
      </w:r>
    </w:p>
    <w:p>
      <w:pPr>
        <w:pStyle w:val="BodyText"/>
      </w:pPr>
      <w:r>
        <w:t xml:space="preserve">12 Nevsky Prospekt, Office 47, 2nd Floor</w:t>
      </w:r>
    </w:p>
    <w:p>
      <w:pPr>
        <w:pStyle w:val="BodyText"/>
      </w:pPr>
      <w:r>
        <w:t xml:space="preserve">Saint Petersburg, 191025, Russia</w:t>
      </w:r>
    </w:p>
    <w:p>
      <w:pPr>
        <w:pStyle w:val="BodyText"/>
      </w:pPr>
      <w:r>
        <w:t xml:space="preserve">INN: 7805432109 | KPP: 780501001</w:t>
      </w:r>
    </w:p>
    <w:p>
      <w:pPr>
        <w:pStyle w:val="BodyText"/>
      </w:pPr>
      <w:r>
        <w:t xml:space="preserve">Bank: Sberbank, Saint Petersburg Branch</w:t>
      </w:r>
    </w:p>
    <w:p>
      <w:pPr>
        <w:pStyle w:val="BodyText"/>
      </w:pPr>
      <w:r>
        <w:t xml:space="preserve">Account: 40702810400000012345</w:t>
      </w:r>
    </w:p>
    <w:p>
      <w:pPr>
        <w:pStyle w:val="BodyText"/>
      </w:pPr>
      <w:r>
        <w:t xml:space="preserve">BIC: 044030045</w:t>
      </w:r>
    </w:p>
    <w:bookmarkEnd w:id="22"/>
    <w:bookmarkStart w:id="23" w:name="billed-to-client"/>
    <w:p>
      <w:pPr>
        <w:pStyle w:val="Heading3"/>
      </w:pPr>
      <w:r>
        <w:t xml:space="preserve">Billed To (Client)</w:t>
      </w:r>
    </w:p>
    <w:p>
      <w:pPr>
        <w:pStyle w:val="FirstParagraph"/>
      </w:pPr>
      <w:r>
        <w:rPr>
          <w:bCs/>
          <w:b/>
        </w:rPr>
        <w:t xml:space="preserve">Northwind Trading Company OOO</w:t>
      </w:r>
    </w:p>
    <w:p>
      <w:pPr>
        <w:pStyle w:val="BodyText"/>
      </w:pPr>
      <w:r>
        <w:t xml:space="preserve">45 Liteyny Avenue, Building 3, Suite 210</w:t>
      </w:r>
    </w:p>
    <w:p>
      <w:pPr>
        <w:pStyle w:val="BodyText"/>
      </w:pPr>
      <w:r>
        <w:t xml:space="preserve">Saint Petersburg, 191011, Russia</w:t>
      </w:r>
    </w:p>
    <w:p>
      <w:pPr>
        <w:pStyle w:val="BodyText"/>
      </w:pPr>
      <w:r>
        <w:t xml:space="preserve">INN: 7811987654 | KPP: 781101001</w:t>
      </w:r>
    </w:p>
    <w:p>
      <w:pPr>
        <w:pStyle w:val="BodyText"/>
      </w:pPr>
      <w:r>
        <w:t xml:space="preserve">Attention: Mr. Dmitry Volkov, CFO</w:t>
      </w:r>
    </w:p>
    <w:p>
      <w:pPr>
        <w:pStyle w:val="BodyText"/>
      </w:pPr>
      <w:r>
        <w:t xml:space="preserve">Phone: +7 (812) 333-7821</w:t>
      </w:r>
    </w:p>
    <w:p>
      <w:pPr>
        <w:pStyle w:val="BodyText"/>
      </w:pPr>
      <w:r>
        <w:t xml:space="preserve">Email: d.volkov@northwind-trading.ru</w:t>
      </w:r>
    </w:p>
    <w:bookmarkEnd w:id="23"/>
    <w:bookmarkStart w:id="24" w:name="X2bf4d9a8ab7ae36242bafbfad8cec1127d2b032"/>
    <w:p>
      <w:pPr>
        <w:pStyle w:val="Heading3"/>
      </w:pPr>
      <w:r>
        <w:t xml:space="preserve">Description of Accounting Services Rendered</w:t>
      </w:r>
    </w:p>
    <w:p>
      <w:pPr>
        <w:pStyle w:val="FirstParagraph"/>
      </w:pPr>
      <w:r>
        <w:t xml:space="preserve">The following professional accountant services were provided by our certified accounting team in Saint Petersburg, Russia, in compliance with the Federal Law on Accounting (No. 402-FZ) and applicable Russian tax regulations for the billing period of 1 May 2025 through 31 May 2025:</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 / Units</w:t>
            </w:r>
          </w:p>
        </w:tc>
        <w:tc>
          <w:tcPr/>
          <w:p>
            <w:pPr>
              <w:pStyle w:val="Compact"/>
              <w:jc w:val="left"/>
            </w:pPr>
            <w:r>
              <w:t xml:space="preserve">Rate (RUB)</w:t>
            </w:r>
          </w:p>
        </w:tc>
        <w:tc>
          <w:tcPr/>
          <w:p>
            <w:pPr>
              <w:pStyle w:val="Compact"/>
              <w:jc w:val="left"/>
            </w:pPr>
            <w:r>
              <w:t xml:space="preserve">Amount (RUB)</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Monthly general ledger maintenance and journal entry processing for all business operations conducted in Saint Petersburg, including revenue recognition, expense categorization, and intercompany transaction reconciliation.</w:t>
            </w:r>
          </w:p>
        </w:tc>
        <w:tc>
          <w:tcPr/>
          <w:p>
            <w:pPr>
              <w:pStyle w:val="Compact"/>
              <w:jc w:val="left"/>
            </w:pPr>
            <w:r>
              <w:t xml:space="preserve">40 hrs</w:t>
            </w:r>
          </w:p>
        </w:tc>
        <w:tc>
          <w:tcPr/>
          <w:p>
            <w:pPr>
              <w:pStyle w:val="Compact"/>
              <w:jc w:val="left"/>
            </w:pPr>
            <w:r>
              <w:t xml:space="preserve">2,500</w:t>
            </w:r>
          </w:p>
        </w:tc>
        <w:tc>
          <w:tcPr/>
          <w:p>
            <w:pPr>
              <w:pStyle w:val="Compact"/>
              <w:jc w:val="left"/>
            </w:pPr>
            <w:r>
              <w:t xml:space="preserve">100,000.00</w:t>
            </w:r>
          </w:p>
        </w:tc>
        <w:tc>
          <w:tcPr/>
          <w:p>
            <w:pPr>
              <w:pStyle w:val="Compact"/>
              <w:jc w:val="left"/>
            </w:pPr>
            <w:r>
              <w:t xml:space="preserve">20,000.00</w:t>
            </w:r>
          </w:p>
        </w:tc>
      </w:tr>
      <w:tr>
        <w:tc>
          <w:tcPr/>
          <w:p>
            <w:pPr>
              <w:pStyle w:val="Compact"/>
              <w:jc w:val="left"/>
            </w:pPr>
            <w:r>
              <w:t xml:space="preserve">02</w:t>
            </w:r>
          </w:p>
        </w:tc>
        <w:tc>
          <w:tcPr/>
          <w:p>
            <w:pPr>
              <w:pStyle w:val="Compact"/>
              <w:jc w:val="left"/>
            </w:pPr>
            <w:r>
              <w:t xml:space="preserve">Preparation and filing of monthly VAT (NDS) declarations with the Federal Tax Service (FTS) of Saint Petersburg, including input/output tax reconciliation and submission of electronic reporting via the GILP system.</w:t>
            </w:r>
          </w:p>
        </w:tc>
        <w:tc>
          <w:tcPr/>
          <w:p>
            <w:pPr>
              <w:pStyle w:val="Compact"/>
              <w:jc w:val="left"/>
            </w:pPr>
            <w:r>
              <w:t xml:space="preserve">16 hrs</w:t>
            </w:r>
          </w:p>
        </w:tc>
        <w:tc>
          <w:tcPr/>
          <w:p>
            <w:pPr>
              <w:pStyle w:val="Compact"/>
              <w:jc w:val="left"/>
            </w:pPr>
            <w:r>
              <w:t xml:space="preserve">2,800</w:t>
            </w:r>
          </w:p>
        </w:tc>
        <w:tc>
          <w:tcPr/>
          <w:p>
            <w:pPr>
              <w:pStyle w:val="Compact"/>
              <w:jc w:val="left"/>
            </w:pPr>
            <w:r>
              <w:t xml:space="preserve">44,800.00</w:t>
            </w:r>
          </w:p>
        </w:tc>
        <w:tc>
          <w:tcPr/>
          <w:p>
            <w:pPr>
              <w:pStyle w:val="Compact"/>
              <w:jc w:val="left"/>
            </w:pPr>
            <w:r>
              <w:t xml:space="preserve">8,960.00</w:t>
            </w:r>
          </w:p>
        </w:tc>
      </w:tr>
      <w:tr>
        <w:tc>
          <w:tcPr/>
          <w:p>
            <w:pPr>
              <w:pStyle w:val="Compact"/>
              <w:jc w:val="left"/>
            </w:pPr>
            <w:r>
              <w:t xml:space="preserve">03</w:t>
            </w:r>
          </w:p>
        </w:tc>
        <w:tc>
          <w:tcPr/>
          <w:p>
            <w:pPr>
              <w:pStyle w:val="Compact"/>
              <w:jc w:val="left"/>
            </w:pPr>
            <w:r>
              <w:t xml:space="preserve">Payroll accounting and social contribution calculations for 34 employees, including personal income tax (NDFL) withholding, pension fund (SFR) contributions, and mandatory medical insurance reporting as required by Russian labor and tax law.</w:t>
            </w:r>
          </w:p>
        </w:tc>
        <w:tc>
          <w:tcPr/>
          <w:p>
            <w:pPr>
              <w:pStyle w:val="Compact"/>
              <w:jc w:val="left"/>
            </w:pPr>
            <w:r>
              <w:t xml:space="preserve">24 hrs</w:t>
            </w:r>
          </w:p>
        </w:tc>
        <w:tc>
          <w:tcPr/>
          <w:p>
            <w:pPr>
              <w:pStyle w:val="Compact"/>
              <w:jc w:val="left"/>
            </w:pPr>
            <w:r>
              <w:t xml:space="preserve">2,500</w:t>
            </w:r>
          </w:p>
        </w:tc>
        <w:tc>
          <w:tcPr/>
          <w:p>
            <w:pPr>
              <w:pStyle w:val="Compact"/>
              <w:jc w:val="left"/>
            </w:pPr>
            <w:r>
              <w:t xml:space="preserve">60,000.00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Preparation of interim financial statements (balance sheet, income statement, cash flow statement) in accordance with Russian Accounting Standards (RAS) and IFRS alignment for the client's banking and investor reporting requirements.</w:t>
            </w:r>
          </w:p>
        </w:tc>
        <w:tc>
          <w:tcPr/>
          <w:p>
            <w:pPr>
              <w:pStyle w:val="Compact"/>
              <w:jc w:val="left"/>
            </w:pPr>
            <w:r>
              <w:t xml:space="preserve">20 hrs</w:t>
            </w:r>
          </w:p>
        </w:tc>
        <w:tc>
          <w:tcPr/>
          <w:p>
            <w:pPr>
              <w:pStyle w:val="Compact"/>
              <w:jc w:val="left"/>
            </w:pPr>
            <w:r>
              <w:t xml:space="preserve">3,200</w:t>
            </w:r>
          </w:p>
        </w:tc>
        <w:tc>
          <w:tcPr/>
          <w:p>
            <w:pPr>
              <w:pStyle w:val="Compact"/>
              <w:jc w:val="left"/>
            </w:pPr>
            <w:r>
              <w:t xml:space="preserve">64,000.00</w:t>
            </w:r>
          </w:p>
        </w:tc>
        <w:tc>
          <w:tcPr/>
          <w:p>
            <w:pPr>
              <w:pStyle w:val="Compact"/>
              <w:jc w:val="left"/>
            </w:pPr>
            <w:r>
              <w:t xml:space="preserve">12,800.00</w:t>
            </w:r>
          </w:p>
        </w:tc>
      </w:tr>
      <w:tr>
        <w:tc>
          <w:tcPr/>
          <w:p>
            <w:pPr>
              <w:pStyle w:val="Compact"/>
              <w:jc w:val="left"/>
            </w:pPr>
            <w:r>
              <w:t xml:space="preserve">05</w:t>
            </w:r>
          </w:p>
        </w:tc>
        <w:tc>
          <w:tcPr/>
          <w:p>
            <w:pPr>
              <w:pStyle w:val="Compact"/>
              <w:jc w:val="left"/>
            </w:pPr>
            <w:r>
              <w:t xml:space="preserve">Tax advisory and compliance review for the Saint Petersburg municipal property tax and land tax obligations, including verification of tax base calculations and preparation of supporting documentation for the FTS Saint Petersburg district office.</w:t>
            </w:r>
          </w:p>
        </w:tc>
        <w:tc>
          <w:tcPr/>
          <w:p>
            <w:pPr>
              <w:pStyle w:val="Compact"/>
              <w:jc w:val="left"/>
            </w:pPr>
            <w:r>
              <w:t xml:space="preserve">12 hrs</w:t>
            </w:r>
          </w:p>
        </w:tc>
        <w:tc>
          <w:tcPr/>
          <w:p>
            <w:pPr>
              <w:pStyle w:val="Compact"/>
              <w:jc w:val="left"/>
            </w:pPr>
            <w:r>
              <w:t xml:space="preserve">3,500</w:t>
            </w:r>
          </w:p>
        </w:tc>
        <w:tc>
          <w:tcPr/>
          <w:p>
            <w:pPr>
              <w:pStyle w:val="Compact"/>
              <w:jc w:val="left"/>
            </w:pPr>
            <w:r>
              <w:t xml:space="preserve">42,000.00</w:t>
            </w:r>
          </w:p>
        </w:tc>
        <w:tc>
          <w:tcPr/>
          <w:p>
            <w:pPr>
              <w:pStyle w:val="Compact"/>
              <w:jc w:val="left"/>
            </w:pPr>
            <w:r>
              <w:t xml:space="preserve">8,400.00</w:t>
            </w:r>
          </w:p>
        </w:tc>
      </w:tr>
      <w:tr>
        <w:tc>
          <w:tcPr/>
          <w:p>
            <w:pPr>
              <w:pStyle w:val="Compact"/>
              <w:jc w:val="left"/>
            </w:pPr>
            <w:r>
              <w:t xml:space="preserve">06</w:t>
            </w:r>
          </w:p>
        </w:tc>
        <w:tc>
          <w:tcPr/>
          <w:p>
            <w:pPr>
              <w:pStyle w:val="Compact"/>
              <w:jc w:val="left"/>
            </w:pPr>
            <w:r>
              <w:t xml:space="preserve">Bank reconciliation and cash flow monitoring for all corporate accounts held with Sberbank and VTB in Saint Petersburg, including identification and resolution of discrepancies totaling 12 items.</w:t>
            </w:r>
          </w:p>
        </w:tc>
        <w:tc>
          <w:tcPr/>
          <w:p>
            <w:pPr>
              <w:pStyle w:val="Compact"/>
              <w:jc w:val="left"/>
            </w:pPr>
            <w:r>
              <w:t xml:space="preserve">10 hrs</w:t>
            </w:r>
          </w:p>
        </w:tc>
        <w:tc>
          <w:tcPr/>
          <w:p>
            <w:pPr>
              <w:pStyle w:val="Compact"/>
              <w:jc w:val="left"/>
            </w:pPr>
            <w:r>
              <w:t xml:space="preserve">2,500</w:t>
            </w:r>
          </w:p>
        </w:tc>
        <w:tc>
          <w:tcPr/>
          <w:p>
            <w:pPr>
              <w:pStyle w:val="Compact"/>
              <w:jc w:val="left"/>
            </w:pPr>
            <w:r>
              <w:t xml:space="preserve">25,000.00</w:t>
            </w:r>
          </w:p>
        </w:tc>
        <w:tc>
          <w:tcPr/>
          <w:p>
            <w:pPr>
              <w:pStyle w:val="Compact"/>
              <w:jc w:val="left"/>
            </w:pPr>
            <w:r>
              <w:t xml:space="preserve">5,000.00</w:t>
            </w:r>
          </w:p>
        </w:tc>
      </w:tr>
      <w:tr>
        <w:tc>
          <w:tcPr/>
          <w:p>
            <w:pPr>
              <w:pStyle w:val="Compact"/>
              <w:jc w:val="left"/>
            </w:pPr>
            <w:r>
              <w:t xml:space="preserve">07</w:t>
            </w:r>
          </w:p>
        </w:tc>
        <w:tc>
          <w:tcPr/>
          <w:p>
            <w:pPr>
              <w:pStyle w:val="Compact"/>
              <w:jc w:val="left"/>
            </w:pPr>
            <w:r>
              <w:t xml:space="preserve">Fixed asset register update and depreciation schedule recalculation per Russian tax code Chapter 25, including capitalization of new equipment acquired during the billing period and disposal of retired assets.</w:t>
            </w:r>
          </w:p>
        </w:tc>
        <w:tc>
          <w:tcPr/>
          <w:p>
            <w:pPr>
              <w:pStyle w:val="Compact"/>
              <w:jc w:val="left"/>
            </w:pPr>
            <w:r>
              <w:t xml:space="preserve">8 hrs</w:t>
            </w:r>
          </w:p>
        </w:tc>
        <w:tc>
          <w:tcPr/>
          <w:p>
            <w:pPr>
              <w:pStyle w:val="Compact"/>
              <w:jc w:val="left"/>
            </w:pPr>
            <w:r>
              <w:t xml:space="preserve">2,800</w:t>
            </w:r>
          </w:p>
        </w:tc>
        <w:tc>
          <w:tcPr/>
          <w:p>
            <w:pPr>
              <w:pStyle w:val="Compact"/>
              <w:jc w:val="left"/>
            </w:pPr>
            <w:r>
              <w:t xml:space="preserve">22,400.00</w:t>
            </w:r>
          </w:p>
        </w:tc>
        <w:tc>
          <w:tcPr/>
          <w:p>
            <w:pPr>
              <w:pStyle w:val="Compact"/>
              <w:jc w:val="left"/>
            </w:pPr>
            <w:r>
              <w:t xml:space="preserve">4,480.00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358,200.00 RUB</w:t>
            </w:r>
          </w:p>
        </w:tc>
      </w:tr>
      <w:tr>
        <w:tc>
          <w:tcPr/>
          <w:p>
            <w:pPr>
              <w:pStyle w:val="Compact"/>
              <w:jc w:val="left"/>
            </w:pPr>
            <w:r>
              <w:t xml:space="preserve">VAT (20%)</w:t>
            </w:r>
          </w:p>
        </w:tc>
        <w:tc>
          <w:tcPr/>
          <w:p>
            <w:pPr>
              <w:pStyle w:val="Compact"/>
              <w:jc w:val="right"/>
            </w:pPr>
            <w:r>
              <w:t xml:space="preserve">71,640.00 RUB</w:t>
            </w:r>
          </w:p>
        </w:tc>
      </w:tr>
      <w:tr>
        <w:tc>
          <w:tcPr/>
          <w:p>
            <w:pPr>
              <w:pStyle w:val="Compact"/>
              <w:jc w:val="left"/>
            </w:pPr>
            <w:r>
              <w:t xml:space="preserve">Discount (Loyalty – 3% for annual contract)</w:t>
            </w:r>
          </w:p>
        </w:tc>
        <w:tc>
          <w:tcPr/>
          <w:p>
            <w:pPr>
              <w:pStyle w:val="Compact"/>
              <w:jc w:val="right"/>
            </w:pPr>
            <w:r>
              <w:t xml:space="preserve">-10,746.00 RUB</w:t>
            </w:r>
          </w:p>
        </w:tc>
      </w:tr>
      <w:tr>
        <w:tc>
          <w:tcPr/>
          <w:p>
            <w:pPr>
              <w:pStyle w:val="Compact"/>
              <w:jc w:val="left"/>
            </w:pPr>
            <w:r>
              <w:t xml:space="preserve">TOTAL AMOUNT DUE</w:t>
            </w:r>
          </w:p>
        </w:tc>
        <w:tc>
          <w:tcPr/>
          <w:p>
            <w:pPr>
              <w:pStyle w:val="Compact"/>
              <w:jc w:val="right"/>
            </w:pPr>
            <w:r>
              <w:t xml:space="preserve">419,094.00 RUB</w:t>
            </w:r>
          </w:p>
        </w:tc>
      </w:tr>
    </w:tbl>
    <w:bookmarkEnd w:id="24"/>
    <w:bookmarkStart w:id="25" w:name="payment-instructions"/>
    <w:p>
      <w:pPr>
        <w:pStyle w:val="Heading3"/>
      </w:pPr>
      <w:r>
        <w:t xml:space="preserve">Payment Instructions</w:t>
      </w:r>
    </w:p>
    <w:p>
      <w:pPr>
        <w:pStyle w:val="FirstParagraph"/>
      </w:pPr>
      <w:r>
        <w:rPr>
          <w:bCs/>
          <w:b/>
        </w:rPr>
        <w:t xml:space="preserve">Method:</w:t>
      </w:r>
      <w:r>
        <w:t xml:space="preserve"> </w:t>
      </w:r>
      <w:r>
        <w:t xml:space="preserve">Bank transfer (bezraschyotny platёzh)</w:t>
      </w:r>
    </w:p>
    <w:p>
      <w:pPr>
        <w:pStyle w:val="BodyText"/>
      </w:pPr>
      <w:r>
        <w:rPr>
          <w:bCs/>
          <w:b/>
        </w:rPr>
        <w:t xml:space="preserve">Beneficiary:</w:t>
      </w:r>
      <w:r>
        <w:t xml:space="preserve"> </w:t>
      </w:r>
      <w:r>
        <w:t xml:space="preserve">SPb Accounting &amp; Financial Solutions LLC</w:t>
      </w:r>
    </w:p>
    <w:p>
      <w:pPr>
        <w:pStyle w:val="BodyText"/>
      </w:pPr>
      <w:r>
        <w:rPr>
          <w:bCs/>
          <w:b/>
        </w:rPr>
        <w:t xml:space="preserve">Bank:</w:t>
      </w:r>
      <w:r>
        <w:t xml:space="preserve"> </w:t>
      </w:r>
      <w:r>
        <w:t xml:space="preserve">Public Joint-Stock Company Sberbank, Saint Petersburg Branch</w:t>
      </w:r>
    </w:p>
    <w:p>
      <w:pPr>
        <w:pStyle w:val="BodyText"/>
      </w:pPr>
      <w:r>
        <w:rPr>
          <w:bCs/>
          <w:b/>
        </w:rPr>
        <w:t xml:space="preserve">Account No.:</w:t>
      </w:r>
      <w:r>
        <w:t xml:space="preserve"> </w:t>
      </w:r>
      <w:r>
        <w:t xml:space="preserve">40702810400000012345</w:t>
      </w:r>
    </w:p>
    <w:p>
      <w:pPr>
        <w:pStyle w:val="BodyText"/>
      </w:pPr>
      <w:r>
        <w:rPr>
          <w:bCs/>
          <w:b/>
        </w:rPr>
        <w:t xml:space="preserve">BIC (SWIFT):</w:t>
      </w:r>
      <w:r>
        <w:t xml:space="preserve"> </w:t>
      </w:r>
      <w:r>
        <w:t xml:space="preserve">044030045 / SBERRUMM</w:t>
      </w:r>
    </w:p>
    <w:p>
      <w:pPr>
        <w:pStyle w:val="BodyText"/>
      </w:pPr>
      <w:r>
        <w:rPr>
          <w:bCs/>
          <w:b/>
        </w:rPr>
        <w:t xml:space="preserve">Payment Purpose:</w:t>
      </w:r>
      <w:r>
        <w:t xml:space="preserve"> </w:t>
      </w:r>
      <w:r>
        <w:t xml:space="preserve">Payment for accounting services per Invoice SPB-2025-04871 dated 15.06.2025</w:t>
      </w:r>
    </w:p>
    <w:p>
      <w:pPr>
        <w:pStyle w:val="BodyText"/>
      </w:pPr>
      <w:r>
        <w:rPr>
          <w:bCs/>
          <w:b/>
        </w:rPr>
        <w:t xml:space="preserve">Reference:</w:t>
      </w:r>
      <w:r>
        <w:t xml:space="preserve"> </w:t>
      </w:r>
      <w:r>
        <w:t xml:space="preserve">SPB-2025-04871</w:t>
      </w:r>
    </w:p>
    <w:p>
      <w:pPr>
        <w:pStyle w:val="BodyText"/>
      </w:pPr>
      <w:r>
        <w:t xml:space="preserve">Please ensure payment is received no later than 30 June 2025 to avoid late payment penalties of 0.1% per calendar day as stipulated in our service agreement.</w:t>
      </w:r>
    </w:p>
    <w:bookmarkEnd w:id="25"/>
    <w:bookmarkStart w:id="26" w:name="important-notes-and-terms"/>
    <w:p>
      <w:pPr>
        <w:pStyle w:val="Heading3"/>
      </w:pPr>
      <w:r>
        <w:t xml:space="preserve">Important Notes and Terms</w:t>
      </w:r>
    </w:p>
    <w:p>
      <w:pPr>
        <w:numPr>
          <w:ilvl w:val="0"/>
          <w:numId w:val="1001"/>
        </w:numPr>
        <w:pStyle w:val="Compact"/>
      </w:pPr>
      <w:r>
        <w:t xml:space="preserve">This invoice is issued in accordance with the Federal Law of the Russian Federation "On Accounting" (No. 402-FZ of 06.12.2011) and the Civil Code of the Russian Federation, Part IV, Chapter 37 (Paid Services).</w:t>
      </w:r>
    </w:p>
    <w:p>
      <w:pPr>
        <w:numPr>
          <w:ilvl w:val="0"/>
          <w:numId w:val="1001"/>
        </w:numPr>
        <w:pStyle w:val="Compact"/>
      </w:pPr>
      <w:r>
        <w:t xml:space="preserve">All accounting services described herein were performed by certified accountants registered with the Russian Association of Certified Public Accountants (RACPA) and are subject to professional liability insurance.</w:t>
      </w:r>
    </w:p>
    <w:p>
      <w:pPr>
        <w:numPr>
          <w:ilvl w:val="0"/>
          <w:numId w:val="1001"/>
        </w:numPr>
        <w:pStyle w:val="Compact"/>
      </w:pPr>
      <w:r>
        <w:t xml:space="preserve">The VAT rate of 20% is applied in accordance with Article 164 of the Tax Code of the Russian Federation. The client is entitled to claim input VAT deduction upon receipt of the primary accounting document (act of services rendered) and this invoice.</w:t>
      </w:r>
    </w:p>
    <w:p>
      <w:pPr>
        <w:numPr>
          <w:ilvl w:val="0"/>
          <w:numId w:val="1001"/>
        </w:numPr>
        <w:pStyle w:val="Compact"/>
      </w:pPr>
      <w:r>
        <w:t xml:space="preserve">Primary accounting documents (acts, specifications) will be provided electronically via the DIADOC document exchange system within 3 business days of invoice issuance.</w:t>
      </w:r>
    </w:p>
    <w:p>
      <w:pPr>
        <w:numPr>
          <w:ilvl w:val="0"/>
          <w:numId w:val="1001"/>
        </w:numPr>
        <w:pStyle w:val="Compact"/>
      </w:pPr>
      <w:r>
        <w:t xml:space="preserve">Any disputes arising from this invoice shall be resolved through the Arbitration Court of Saint Petersburg and the Leningrad Region in accordance with the applicable procedural rules.</w:t>
      </w:r>
    </w:p>
    <w:p>
      <w:pPr>
        <w:numPr>
          <w:ilvl w:val="0"/>
          <w:numId w:val="1001"/>
        </w:numPr>
        <w:pStyle w:val="Compact"/>
      </w:pPr>
      <w:r>
        <w:t xml:space="preserve">This invoice is valid for 30 calendar days from the date of issue. After the due date, a late payment surcharge of 0.1% per day will be applied to the outstanding balance.</w:t>
      </w:r>
    </w:p>
    <w:p>
      <w:pPr>
        <w:numPr>
          <w:ilvl w:val="0"/>
          <w:numId w:val="1001"/>
        </w:numPr>
        <w:pStyle w:val="Compact"/>
      </w:pPr>
      <w:r>
        <w:t xml:space="preserve">All personal data processed in connection with this invoice is handled in compliance with Federal Law No. 152-FZ "On Personal Data" of the Russian Federation.</w:t>
      </w:r>
    </w:p>
    <w:bookmarkEnd w:id="26"/>
    <w:p>
      <w:pPr>
        <w:pStyle w:val="FirstParagraph"/>
      </w:pPr>
      <w:r>
        <w:rPr>
          <w:bCs/>
          <w:b/>
        </w:rPr>
        <w:t xml:space="preserve">SPb Accounting &amp; Financial Solutions LLC</w:t>
      </w:r>
      <w:r>
        <w:t xml:space="preserve"> </w:t>
      </w:r>
      <w:r>
        <w:t xml:space="preserve">| 12 Nevsky Prospekt, Saint Petersburg, 191025, Russian Federation</w:t>
      </w:r>
    </w:p>
    <w:p>
      <w:pPr>
        <w:pStyle w:val="BodyText"/>
      </w:pPr>
      <w:r>
        <w:t xml:space="preserve">INN: 7805432109 | OGRN: 1157847001234 | RACPA Member No. SP-2019-0042</w:t>
      </w:r>
    </w:p>
    <w:p>
      <w:pPr>
        <w:pStyle w:val="BodyText"/>
      </w:pPr>
      <w:r>
        <w:t xml:space="preserve">This invoice was generated electronically and is valid without a physical signature per Article 160 of the Civil Code of the Russian Federation.</w:t>
      </w:r>
    </w:p>
    <w:p>
      <w:pPr>
        <w:pStyle w:val="BodyText"/>
      </w:pPr>
      <w:r>
        <w:t xml:space="preserve">Thank you for choosing our accounting services in Saint Petersburg, Russia. We are committed to ensuring full compliance and financial transparency for your business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Accounting Services - Saint Petersburg, Russia</dc:title>
  <dc:creator/>
  <dc:language>en</dc:language>
  <cp:keywords/>
  <dcterms:created xsi:type="dcterms:W3CDTF">2026-10-10T08:09:40Z</dcterms:created>
  <dcterms:modified xsi:type="dcterms:W3CDTF">2026-10-10T08:09:40Z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