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27e99ad1aed54e73609c103c52072fba7a092c7"/>
    <w:p>
      <w:pPr>
        <w:pStyle w:val="Heading1"/>
      </w:pPr>
      <w:r>
        <w:t xml:space="preserve">Al-Madina Professional Accountant Services</w:t>
      </w:r>
    </w:p>
    <w:p>
      <w:pPr>
        <w:pStyle w:val="FirstParagraph"/>
      </w:pPr>
      <w:r>
        <w:t xml:space="preserve">Office 412, Business Tower, Al Shati District</w:t>
      </w:r>
    </w:p>
    <w:p>
      <w:pPr>
        <w:pStyle w:val="BodyText"/>
      </w:pPr>
      <w:r>
        <w:t xml:space="preserve">Jeddah 23412, Saudi Arabia</w:t>
      </w:r>
    </w:p>
    <w:p>
      <w:pPr>
        <w:pStyle w:val="BodyText"/>
      </w:pPr>
      <w:r>
        <w:t xml:space="preserve">Phone: +966 12 654 3210 | Email: billing@almadina-accountant.sa</w:t>
      </w:r>
    </w:p>
    <w:p>
      <w:pPr>
        <w:pStyle w:val="BodyText"/>
      </w:pPr>
      <w:r>
        <w:t xml:space="preserve">VAT Registration No.: 310123456700003</w:t>
      </w:r>
    </w:p>
    <w:p>
      <w:pPr>
        <w:pStyle w:val="BodyText"/>
      </w:pPr>
      <w:r>
        <w:t xml:space="preserve">CR No.: 1010456789</w:t>
      </w:r>
    </w:p>
    <w:bookmarkEnd w:id="20"/>
    <w:bookmarkStart w:id="21" w:name="invoice"/>
    <w:p>
      <w:pPr>
        <w:pStyle w:val="Heading2"/>
      </w:pPr>
      <w:r>
        <w:t xml:space="preserve">INVOICE</w:t>
      </w:r>
    </w:p>
    <w:p>
      <w:pPr>
        <w:pStyle w:val="FirstParagraph"/>
      </w:pPr>
      <w:r>
        <w:t xml:space="preserve">Invoice No: INV-JED-2025-00472</w:t>
      </w:r>
    </w:p>
    <w:p>
      <w:pPr>
        <w:pStyle w:val="BodyText"/>
      </w:pPr>
      <w:r>
        <w:t xml:space="preserve">Date of Issue: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Al-Rashid Trading &amp; Logistics Co.</w:t>
      </w:r>
    </w:p>
    <w:p>
      <w:pPr>
        <w:pStyle w:val="BodyText"/>
      </w:pPr>
      <w:r>
        <w:t xml:space="preserve">Attn: Mr. Khalid Al-Otaibi, Finance Director</w:t>
      </w:r>
    </w:p>
    <w:p>
      <w:pPr>
        <w:pStyle w:val="BodyText"/>
      </w:pPr>
      <w:r>
        <w:t xml:space="preserve">Building 7, Prince Sultan Road</w:t>
      </w:r>
    </w:p>
    <w:p>
      <w:pPr>
        <w:pStyle w:val="BodyText"/>
      </w:pPr>
      <w:r>
        <w:t xml:space="preserve">Jeddah 23325, Saudi Arabia</w:t>
      </w:r>
    </w:p>
    <w:p>
      <w:pPr>
        <w:pStyle w:val="BodyText"/>
      </w:pPr>
      <w:r>
        <w:t xml:space="preserve">VAT No.: 310987654300003</w:t>
      </w:r>
    </w:p>
    <w:bookmarkEnd w:id="22"/>
    <w:bookmarkStart w:id="23" w:name="invoice-reference"/>
    <w:p>
      <w:pPr>
        <w:pStyle w:val="Heading3"/>
      </w:pPr>
      <w:r>
        <w:t xml:space="preserve">Invoice Reference</w:t>
      </w:r>
    </w:p>
    <w:p>
      <w:pPr>
        <w:pStyle w:val="FirstParagraph"/>
      </w:pPr>
      <w:r>
        <w:t xml:space="preserve">Project: Q2 2025 Financial Compliance</w:t>
      </w:r>
    </w:p>
    <w:p>
      <w:pPr>
        <w:pStyle w:val="BodyText"/>
      </w:pPr>
      <w:r>
        <w:t xml:space="preserve">Service Period: 1 April 2025 – 30 June 2025</w:t>
      </w:r>
    </w:p>
    <w:p>
      <w:pPr>
        <w:pStyle w:val="BodyText"/>
      </w:pPr>
      <w:r>
        <w:t xml:space="preserve">Accountant Assigned: Mr. Faisal Al-Harbi, CPA</w:t>
      </w:r>
    </w:p>
    <w:p>
      <w:pPr>
        <w:pStyle w:val="BodyText"/>
      </w:pPr>
      <w:r>
        <w:t xml:space="preserve">Contract Ref: CTR-JED-2025-018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Service Period</w:t>
            </w:r>
          </w:p>
        </w:tc>
        <w:tc>
          <w:tcPr/>
          <w:p>
            <w:pPr>
              <w:pStyle w:val="Compact"/>
              <w:jc w:val="left"/>
            </w:pPr>
            <w:r>
              <w:t xml:space="preserve">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Monthly bookkeeping and general ledger maintenance for all business units operating in Jeddah, Saudi Arabia</w:t>
            </w:r>
          </w:p>
        </w:tc>
        <w:tc>
          <w:tcPr/>
          <w:p>
            <w:pPr>
              <w:pStyle w:val="Compact"/>
              <w:jc w:val="left"/>
            </w:pPr>
            <w:r>
              <w:t xml:space="preserve">Apr – Jun 2025</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3,825.00</w:t>
            </w:r>
          </w:p>
        </w:tc>
      </w:tr>
      <w:tr>
        <w:tc>
          <w:tcPr/>
          <w:p>
            <w:pPr>
              <w:pStyle w:val="Compact"/>
              <w:jc w:val="left"/>
            </w:pPr>
            <w:r>
              <w:t xml:space="preserve">2</w:t>
            </w:r>
          </w:p>
        </w:tc>
        <w:tc>
          <w:tcPr/>
          <w:p>
            <w:pPr>
              <w:pStyle w:val="Compact"/>
              <w:jc w:val="left"/>
            </w:pPr>
            <w:r>
              <w:t xml:space="preserve">Preparation and filing of quarterly VAT returns with the Zakat, Tax and Customs Authority (ZATCA) for the Jeddah region</w:t>
            </w:r>
          </w:p>
        </w:tc>
        <w:tc>
          <w:tcPr/>
          <w:p>
            <w:pPr>
              <w:pStyle w:val="Compact"/>
              <w:jc w:val="left"/>
            </w:pPr>
            <w:r>
              <w:t xml:space="preserve">Q2 2025</w:t>
            </w:r>
          </w:p>
        </w:tc>
        <w:tc>
          <w:tcPr/>
          <w:p>
            <w:pPr>
              <w:pStyle w:val="Compact"/>
              <w:jc w:val="left"/>
            </w:pPr>
            <w:r>
              <w:t xml:space="preserve">6,000.00</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Monthly payroll processing, salary computation, and GOSI contribution reconciliation for 120 employees</w:t>
            </w:r>
          </w:p>
        </w:tc>
        <w:tc>
          <w:tcPr/>
          <w:p>
            <w:pPr>
              <w:pStyle w:val="Compact"/>
              <w:jc w:val="left"/>
            </w:pPr>
            <w:r>
              <w:t xml:space="preserve">Apr – Jun 2025</w:t>
            </w:r>
          </w:p>
        </w:tc>
        <w:tc>
          <w:tcPr/>
          <w:p>
            <w:pPr>
              <w:pStyle w:val="Compact"/>
              <w:jc w:val="left"/>
            </w:pPr>
            <w:r>
              <w:t xml:space="preserve">5,200.00</w:t>
            </w:r>
          </w:p>
        </w:tc>
        <w:tc>
          <w:tcPr/>
          <w:p>
            <w:pPr>
              <w:pStyle w:val="Compact"/>
              <w:jc w:val="left"/>
            </w:pPr>
            <w:r>
              <w:t xml:space="preserve">15,600.00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Financial statement preparation (Balance Sheet, Income Statement, Cash Flow) in compliance with IFRS standards applicable in Saudi Arabia</w:t>
            </w:r>
          </w:p>
        </w:tc>
        <w:tc>
          <w:tcPr/>
          <w:p>
            <w:pPr>
              <w:pStyle w:val="Compact"/>
              <w:jc w:val="left"/>
            </w:pPr>
            <w:r>
              <w:t xml:space="preserve">Q2 2025</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1,125.00</w:t>
            </w:r>
          </w:p>
        </w:tc>
      </w:tr>
      <w:tr>
        <w:tc>
          <w:tcPr/>
          <w:p>
            <w:pPr>
              <w:pStyle w:val="Compact"/>
              <w:jc w:val="left"/>
            </w:pPr>
            <w:r>
              <w:t xml:space="preserve">5</w:t>
            </w:r>
          </w:p>
        </w:tc>
        <w:tc>
          <w:tcPr/>
          <w:p>
            <w:pPr>
              <w:pStyle w:val="Compact"/>
              <w:jc w:val="left"/>
            </w:pPr>
            <w:r>
              <w:t xml:space="preserve">Tax advisory and compliance consultation regarding corporate income tax obligations for entities registered in Jeddah, Saudi Arabia</w:t>
            </w:r>
          </w:p>
        </w:tc>
        <w:tc>
          <w:tcPr/>
          <w:p>
            <w:pPr>
              <w:pStyle w:val="Compact"/>
              <w:jc w:val="left"/>
            </w:pPr>
            <w:r>
              <w:t xml:space="preserve">Apr – Jun 2025</w:t>
            </w:r>
          </w:p>
        </w:tc>
        <w:tc>
          <w:tcPr/>
          <w:p>
            <w:pPr>
              <w:pStyle w:val="Compact"/>
              <w:jc w:val="left"/>
            </w:pPr>
            <w:r>
              <w:t xml:space="preserve">4,000.00</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Internal audit support and reconciliation of bank accounts, vendor ledgers, and inter-company transactions</w:t>
            </w:r>
          </w:p>
        </w:tc>
        <w:tc>
          <w:tcPr/>
          <w:p>
            <w:pPr>
              <w:pStyle w:val="Compact"/>
              <w:jc w:val="left"/>
            </w:pPr>
            <w:r>
              <w:t xml:space="preserve">Apr – Jun 2025</w:t>
            </w:r>
          </w:p>
        </w:tc>
        <w:tc>
          <w:tcPr/>
          <w:p>
            <w:pPr>
              <w:pStyle w:val="Compact"/>
              <w:jc w:val="left"/>
            </w:pPr>
            <w:r>
              <w:t xml:space="preserve">3,800.00</w:t>
            </w:r>
          </w:p>
        </w:tc>
        <w:tc>
          <w:tcPr/>
          <w:p>
            <w:pPr>
              <w:pStyle w:val="Compact"/>
              <w:jc w:val="left"/>
            </w:pPr>
            <w:r>
              <w:t xml:space="preserve">11,400.00</w:t>
            </w:r>
          </w:p>
        </w:tc>
        <w:tc>
          <w:tcPr/>
          <w:p>
            <w:pPr>
              <w:pStyle w:val="Compact"/>
              <w:jc w:val="left"/>
            </w:pPr>
            <w:r>
              <w:t xml:space="preserve">1,710.00</w:t>
            </w:r>
          </w:p>
        </w:tc>
      </w:tr>
      <w:tr>
        <w:tc>
          <w:tcPr/>
          <w:p>
            <w:pPr>
              <w:pStyle w:val="Compact"/>
              <w:jc w:val="left"/>
            </w:pPr>
            <w:r>
              <w:t xml:space="preserve">7</w:t>
            </w:r>
          </w:p>
        </w:tc>
        <w:tc>
          <w:tcPr/>
          <w:p>
            <w:pPr>
              <w:pStyle w:val="Compact"/>
              <w:jc w:val="left"/>
            </w:pPr>
            <w:r>
              <w:t xml:space="preserve">Annual audit preparation and coordination with external auditors for the fiscal year ending 31 December 2025</w:t>
            </w:r>
          </w:p>
        </w:tc>
        <w:tc>
          <w:tcPr/>
          <w:p>
            <w:pPr>
              <w:pStyle w:val="Compact"/>
              <w:jc w:val="left"/>
            </w:pPr>
            <w:r>
              <w:t xml:space="preserve">Jun 2025</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left"/>
            </w:pPr>
            <w:r>
              <w:rPr>
                <w:bCs/>
                <w:b/>
              </w:rPr>
              <w:t xml:space="preserve">83,000.00</w:t>
            </w:r>
          </w:p>
        </w:tc>
      </w:tr>
      <w:tr>
        <w:tc>
          <w:tcPr/>
          <w:p>
            <w:pPr>
              <w:pStyle w:val="Compact"/>
              <w:jc w:val="left"/>
            </w:pPr>
            <w:r>
              <w:t xml:space="preserve">VAT @ 15% (SAR)</w:t>
            </w:r>
          </w:p>
        </w:tc>
        <w:tc>
          <w:tcPr/>
          <w:p>
            <w:pPr>
              <w:pStyle w:val="Compact"/>
              <w:jc w:val="left"/>
            </w:pPr>
            <w:r>
              <w:rPr>
                <w:bCs/>
                <w:b/>
              </w:rPr>
              <w:t xml:space="preserve">12,450.00</w:t>
            </w:r>
          </w:p>
        </w:tc>
      </w:tr>
      <w:tr>
        <w:tc>
          <w:tcPr/>
          <w:p>
            <w:pPr>
              <w:pStyle w:val="Compact"/>
              <w:jc w:val="left"/>
            </w:pPr>
            <w:r>
              <w:t xml:space="preserve">Discount / Adjustment (SAR)</w:t>
            </w:r>
          </w:p>
        </w:tc>
        <w:tc>
          <w:tcPr/>
          <w:p>
            <w:pPr>
              <w:pStyle w:val="Compact"/>
              <w:jc w:val="left"/>
            </w:pPr>
            <w:r>
              <w:t xml:space="preserve">0.00</w:t>
            </w:r>
          </w:p>
        </w:tc>
      </w:tr>
      <w:tr>
        <w:tc>
          <w:tcPr/>
          <w:p>
            <w:pPr>
              <w:pStyle w:val="Compact"/>
              <w:jc w:val="left"/>
            </w:pPr>
            <w:r>
              <w:t xml:space="preserve">Grand Total Due (SAR)</w:t>
            </w:r>
          </w:p>
        </w:tc>
        <w:tc>
          <w:tcPr/>
          <w:p>
            <w:pPr>
              <w:pStyle w:val="Compact"/>
              <w:jc w:val="left"/>
            </w:pPr>
            <w:r>
              <w:t xml:space="preserve">95,450.00</w:t>
            </w:r>
          </w:p>
        </w:tc>
      </w:tr>
    </w:tbl>
    <w:bookmarkStart w:id="24" w:name="invoice-notes-payment-instructions"/>
    <w:p>
      <w:pPr>
        <w:pStyle w:val="Heading3"/>
      </w:pPr>
      <w:r>
        <w:t xml:space="preserve">Invoice Notes &amp; Payment Instructions</w:t>
      </w:r>
    </w:p>
    <w:p>
      <w:pPr>
        <w:pStyle w:val="FirstParagraph"/>
      </w:pPr>
      <w:r>
        <w:t xml:space="preserve">This invoice is issued by Al-Madina Professional Accountant Services, a licensed accounting firm headquartered in Jeddah, Saudi Arabia, in accordance with the regulations set forth by the Saudi Ministry of Commerce and the Zakat, Tax and Customs Authority (ZATCA).</w:t>
      </w:r>
    </w:p>
    <w:p>
      <w:pPr>
        <w:pStyle w:val="BodyText"/>
      </w:pPr>
      <w:r>
        <w:rPr>
          <w:bCs/>
          <w:b/>
        </w:rPr>
        <w:t xml:space="preserve">Bank Transfer:</w:t>
      </w:r>
      <w:r>
        <w:t xml:space="preserve"> </w:t>
      </w:r>
      <w:r>
        <w:t xml:space="preserve">Please remit payment via wire transfer to the following account. Reference the Invoice No. INV-JED-2025-00472 in your payment memo.</w:t>
      </w:r>
    </w:p>
    <w:p>
      <w:pPr>
        <w:pStyle w:val="BodyText"/>
      </w:pPr>
      <w:r>
        <w:t xml:space="preserve">Bank: Saudi National Bank (SNB) | Branch: Al Shati, Jeddah</w:t>
      </w:r>
    </w:p>
    <w:p>
      <w:pPr>
        <w:pStyle w:val="BodyText"/>
      </w:pPr>
      <w:r>
        <w:t xml:space="preserve">Account Name: Al-Madina Professional Accountant Services</w:t>
      </w:r>
    </w:p>
    <w:p>
      <w:pPr>
        <w:pStyle w:val="BodyText"/>
      </w:pPr>
      <w:r>
        <w:t xml:space="preserve">IBAN: SA03 8000 0000 6080 1016 7519</w:t>
      </w:r>
    </w:p>
    <w:p>
      <w:pPr>
        <w:pStyle w:val="BodyText"/>
      </w:pPr>
      <w:r>
        <w:t xml:space="preserve">SWIFT Code: SNAKSAJ0</w:t>
      </w:r>
    </w:p>
    <w:p>
      <w:pPr>
        <w:pStyle w:val="BodyText"/>
      </w:pPr>
      <w:r>
        <w:rPr>
          <w:bCs/>
          <w:b/>
        </w:rPr>
        <w:t xml:space="preserve">Important:</w:t>
      </w:r>
      <w:r>
        <w:t xml:space="preserve"> </w:t>
      </w:r>
      <w:r>
        <w:t xml:space="preserve">This invoice is valid for 30 days from the date of issue. Late payments beyond the due date of 30 June 2025 will be subject to a 2% monthly late fee as stipulated in our service agreement. All amounts are denominated in Saudi Riyals (SAR). The 15% VAT is applied in compliance with the Saudi Arabian Value Added Tax law effective from 1 January 2018.</w:t>
      </w:r>
    </w:p>
    <w:bookmarkEnd w:id="24"/>
    <w:bookmarkStart w:id="25" w:name="terms-and-conditions"/>
    <w:p>
      <w:pPr>
        <w:pStyle w:val="Heading3"/>
      </w:pPr>
      <w:r>
        <w:t xml:space="preserve">Terms and Conditions</w:t>
      </w:r>
    </w:p>
    <w:p>
      <w:pPr>
        <w:pStyle w:val="FirstParagraph"/>
      </w:pPr>
      <w:r>
        <w:t xml:space="preserve">1. This invoice represents the final billing for professional accountant services rendered during the period specified above. All services were performed in Jeddah, Saudi Arabia, in full compliance with local accounting standards and regulatory requirements.</w:t>
      </w:r>
    </w:p>
    <w:p>
      <w:pPr>
        <w:pStyle w:val="BodyText"/>
      </w:pPr>
      <w:r>
        <w:t xml:space="preserve">2. The accountant services described herein include but are not limited to bookkeeping, tax filing, payroll management, financial reporting, and advisory work. Any additional services requested outside the scope of the original contract will be invoiced separately.</w:t>
      </w:r>
    </w:p>
    <w:p>
      <w:pPr>
        <w:pStyle w:val="BodyText"/>
      </w:pPr>
      <w:r>
        <w:t xml:space="preserve">3. All financial data and documents provided by the client to our accountant team are treated as strictly confidential in accordance with Saudi data protection regulations. No information will be disclosed to third parties without written consent.</w:t>
      </w:r>
    </w:p>
    <w:p>
      <w:pPr>
        <w:pStyle w:val="BodyText"/>
      </w:pPr>
      <w:r>
        <w:t xml:space="preserve">4. Payment is due within fifteen (15) calendar days from the invoice date. In the event of a dispute regarding any line item, the undisputed portion must still be settled by the due date. Disputed amounts will be reviewed by both parties within ten business days.</w:t>
      </w:r>
    </w:p>
    <w:p>
      <w:pPr>
        <w:pStyle w:val="BodyText"/>
      </w:pPr>
      <w:r>
        <w:t xml:space="preserve">5. This invoice is issued electronically in compliance with ZATCA's e-invoicing mandate. The digital signature and QR code embedded in the electronic version of this invoice serve as authentication. Printed copies are for reference only.</w:t>
      </w:r>
    </w:p>
    <w:p>
      <w:pPr>
        <w:pStyle w:val="BodyText"/>
      </w:pPr>
      <w:r>
        <w:t xml:space="preserve">6. Governing law: The laws of the Kingdom of Saudi Arabia. Any disputes arising from this invoice or the underlying service agreement shall be subject to the exclusive jurisdiction of the courts in Jeddah, Saudi Arabia.</w:t>
      </w:r>
    </w:p>
    <w:bookmarkEnd w:id="25"/>
    <w:p>
      <w:pPr>
        <w:pStyle w:val="BodyText"/>
      </w:pPr>
      <w:r>
        <w:t xml:space="preserve">Al-Madina Professional Accountant Services | Jeddah, Saudi Arabia | CR: 1010456789 | VAT: 310123456700003</w:t>
      </w:r>
    </w:p>
    <w:p>
      <w:pPr>
        <w:pStyle w:val="BodyText"/>
      </w:pPr>
      <w:r>
        <w:t xml:space="preserve">This invoice was generated on 15 June 2025. For queries regarding this invoice, please contact our billing department at billing@almadina-accountant.sa or call +966 12 654 3210.</w:t>
      </w:r>
    </w:p>
    <w:p>
      <w:pPr>
        <w:pStyle w:val="BodyText"/>
      </w:pPr>
      <w:r>
        <w:t xml:space="preserve">Thank you for choosing our accountant services in Jeddah, Saudi Arabia.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Saudi Arabia Jeddah</dc:title>
  <dc:creator/>
  <dc:language>en</dc:language>
  <cp:keywords/>
  <dcterms:created xsi:type="dcterms:W3CDTF">2026-10-10T05:49:35Z</dcterms:created>
  <dcterms:modified xsi:type="dcterms:W3CDTF">2026-10-10T05:49:35Z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