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barcelona-accountant-tax-advisory-s.l."/>
    <w:p>
      <w:pPr>
        <w:pStyle w:val="Heading1"/>
      </w:pPr>
      <w:r>
        <w:t xml:space="preserve">Barcelona Accountant &amp; Tax Advisory S.L.</w:t>
      </w:r>
    </w:p>
    <w:p>
      <w:pPr>
        <w:pStyle w:val="FirstParagraph"/>
      </w:pPr>
      <w:r>
        <w:t xml:space="preserve">Carrer de la Rambla, 142, 2º 1º</w:t>
      </w:r>
    </w:p>
    <w:p>
      <w:pPr>
        <w:pStyle w:val="BodyText"/>
      </w:pPr>
      <w:r>
        <w:t xml:space="preserve">08002 Barcelona, Spain</w:t>
      </w:r>
    </w:p>
    <w:p>
      <w:pPr>
        <w:pStyle w:val="BodyText"/>
      </w:pPr>
      <w:r>
        <w:t xml:space="preserve">NIF: B-65432109</w:t>
      </w:r>
    </w:p>
    <w:p>
      <w:pPr>
        <w:pStyle w:val="BodyText"/>
      </w:pPr>
      <w:r>
        <w:t xml:space="preserve">Phone: +34 932 555 014</w:t>
      </w:r>
    </w:p>
    <w:p>
      <w:pPr>
        <w:pStyle w:val="BodyText"/>
      </w:pPr>
      <w:r>
        <w:t xml:space="preserve">Email: billing@barcelonaccountant.es</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INV-2025-0487</w:t>
      </w:r>
    </w:p>
    <w:p>
      <w:pPr>
        <w:pStyle w:val="BodyText"/>
      </w:pPr>
      <w:r>
        <w:t xml:space="preserve">Accountant Services – Spain Barcelona</w:t>
      </w:r>
    </w:p>
    <w:bookmarkEnd w:id="21"/>
    <w:bookmarkStart w:id="22" w:name="from-accountant-service-provider"/>
    <w:p>
      <w:pPr>
        <w:pStyle w:val="Heading3"/>
      </w:pPr>
      <w:r>
        <w:t xml:space="preserve">From (Accountant / Service Provider)</w:t>
      </w:r>
    </w:p>
    <w:p>
      <w:pPr>
        <w:pStyle w:val="FirstParagraph"/>
      </w:pPr>
      <w:r>
        <w:rPr>
          <w:bCs/>
          <w:b/>
        </w:rPr>
        <w:t xml:space="preserve">Barcelona Accountant &amp; Tax Advisory S.L.</w:t>
      </w:r>
    </w:p>
    <w:p>
      <w:pPr>
        <w:pStyle w:val="BodyText"/>
      </w:pPr>
      <w:r>
        <w:t xml:space="preserve">Carrer de la Rambla, 142, 2º 1º</w:t>
      </w:r>
    </w:p>
    <w:p>
      <w:pPr>
        <w:pStyle w:val="BodyText"/>
      </w:pPr>
      <w:r>
        <w:t xml:space="preserve">08002 Barcelona, Spain</w:t>
      </w:r>
    </w:p>
    <w:p>
      <w:pPr>
        <w:pStyle w:val="BodyText"/>
      </w:pPr>
      <w:r>
        <w:t xml:space="preserve">NIF: B-65432109</w:t>
      </w:r>
    </w:p>
    <w:p>
      <w:pPr>
        <w:pStyle w:val="BodyText"/>
      </w:pPr>
      <w:r>
        <w:t xml:space="preserve">Registered with the Col·legi Oficial d'Agents Comptables de Catalunya</w:t>
      </w:r>
    </w:p>
    <w:p>
      <w:pPr>
        <w:pStyle w:val="BodyText"/>
      </w:pPr>
      <w:r>
        <w:t xml:space="preserve">License No: ACC-2019-0042</w:t>
      </w:r>
    </w:p>
    <w:bookmarkEnd w:id="22"/>
    <w:bookmarkStart w:id="23" w:name="to-client-bill-to"/>
    <w:p>
      <w:pPr>
        <w:pStyle w:val="Heading3"/>
      </w:pPr>
      <w:r>
        <w:t xml:space="preserve">To (Client / Bill To)</w:t>
      </w:r>
    </w:p>
    <w:p>
      <w:pPr>
        <w:pStyle w:val="FirstParagraph"/>
      </w:pPr>
      <w:r>
        <w:rPr>
          <w:bCs/>
          <w:b/>
        </w:rPr>
        <w:t xml:space="preserve">Mediterrània Comercial S.L.</w:t>
      </w:r>
    </w:p>
    <w:p>
      <w:pPr>
        <w:pStyle w:val="BodyText"/>
      </w:pPr>
      <w:r>
        <w:t xml:space="preserve">Avinguda Diagonal, 456, 3º 2º</w:t>
      </w:r>
    </w:p>
    <w:p>
      <w:pPr>
        <w:pStyle w:val="BodyText"/>
      </w:pPr>
      <w:r>
        <w:t xml:space="preserve">08006 Barcelona, Spain</w:t>
      </w:r>
    </w:p>
    <w:p>
      <w:pPr>
        <w:pStyle w:val="BodyText"/>
      </w:pPr>
      <w:r>
        <w:t xml:space="preserve">NIF: B-78912345</w:t>
      </w:r>
    </w:p>
    <w:p>
      <w:pPr>
        <w:pStyle w:val="BodyText"/>
      </w:pPr>
      <w:r>
        <w:t xml:space="preserve">Contact: Sr. Jordi Puigvert</w:t>
      </w:r>
    </w:p>
    <w:p>
      <w:pPr>
        <w:pStyle w:val="BodyText"/>
      </w:pPr>
      <w:r>
        <w:t xml:space="preserve">Email: jordi.puigvert@mediterraniacomercial.com</w:t>
      </w:r>
    </w:p>
    <w:bookmarkEnd w:id="23"/>
    <w:p>
      <w:pPr>
        <w:pStyle w:val="BodyText"/>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1 January 2025 – 31 May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EUR (€)</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Accountant Services</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c>
          <w:tcPr/>
          <w:p>
            <w:pPr>
              <w:pStyle w:val="Compact"/>
              <w:jc w:val="left"/>
            </w:pPr>
            <w:r>
              <w:t xml:space="preserve">IVA %</w:t>
            </w:r>
          </w:p>
        </w:tc>
      </w:tr>
      <w:tr>
        <w:tc>
          <w:tcPr/>
          <w:p>
            <w:pPr>
              <w:pStyle w:val="Compact"/>
              <w:jc w:val="left"/>
            </w:pPr>
            <w:r>
              <w:t xml:space="preserve">01</w:t>
            </w:r>
          </w:p>
        </w:tc>
        <w:tc>
          <w:tcPr/>
          <w:p>
            <w:pPr>
              <w:pStyle w:val="Compact"/>
              <w:jc w:val="left"/>
            </w:pPr>
            <w:r>
              <w:t xml:space="preserve">Monthly accounting bookkeeping and ledger maintenance for the period January–May 2025, including recording of all commercial transactions, bank reconciliations, and preparation of the general ledger in compliance with the Spanish General Accounting Plan (Plan General de Contabilidad).</w:t>
            </w:r>
          </w:p>
        </w:tc>
        <w:tc>
          <w:tcPr/>
          <w:p>
            <w:pPr>
              <w:pStyle w:val="Compact"/>
              <w:jc w:val="left"/>
            </w:pPr>
            <w:r>
              <w:t xml:space="preserve">45.0</w:t>
            </w:r>
          </w:p>
        </w:tc>
        <w:tc>
          <w:tcPr/>
          <w:p>
            <w:pPr>
              <w:pStyle w:val="Compact"/>
              <w:jc w:val="left"/>
            </w:pPr>
            <w:r>
              <w:t xml:space="preserve">65.00</w:t>
            </w:r>
          </w:p>
        </w:tc>
        <w:tc>
          <w:tcPr/>
          <w:p>
            <w:pPr>
              <w:pStyle w:val="Compact"/>
              <w:jc w:val="left"/>
            </w:pPr>
            <w:r>
              <w:t xml:space="preserve">2,925.00</w:t>
            </w:r>
          </w:p>
        </w:tc>
        <w:tc>
          <w:tcPr/>
          <w:p>
            <w:pPr>
              <w:pStyle w:val="Compact"/>
              <w:jc w:val="left"/>
            </w:pPr>
            <w:r>
              <w:t xml:space="preserve">21%</w:t>
            </w:r>
          </w:p>
        </w:tc>
      </w:tr>
      <w:tr>
        <w:tc>
          <w:tcPr/>
          <w:p>
            <w:pPr>
              <w:pStyle w:val="Compact"/>
              <w:jc w:val="left"/>
            </w:pPr>
            <w:r>
              <w:t xml:space="preserve">02</w:t>
            </w:r>
          </w:p>
        </w:tc>
        <w:tc>
          <w:tcPr/>
          <w:p>
            <w:pPr>
              <w:pStyle w:val="Compact"/>
              <w:jc w:val="left"/>
            </w:pPr>
            <w:r>
              <w:t xml:space="preserve">Preparation and filing of quarterly VAT (IVA) returns (Modelo 303) with the Agencia Estatal de Administración Tributaria (AEAT) for Q1 and Q2 2025, submitted from our office in Spain Barcelona.</w:t>
            </w:r>
          </w:p>
        </w:tc>
        <w:tc>
          <w:tcPr/>
          <w:p>
            <w:pPr>
              <w:pStyle w:val="Compact"/>
              <w:jc w:val="left"/>
            </w:pPr>
            <w:r>
              <w:t xml:space="preserve">12.0</w:t>
            </w:r>
          </w:p>
        </w:tc>
        <w:tc>
          <w:tcPr/>
          <w:p>
            <w:pPr>
              <w:pStyle w:val="Compact"/>
              <w:jc w:val="left"/>
            </w:pPr>
            <w:r>
              <w:t xml:space="preserve">75.00</w:t>
            </w:r>
          </w:p>
        </w:tc>
        <w:tc>
          <w:tcPr/>
          <w:p>
            <w:pPr>
              <w:pStyle w:val="Compact"/>
              <w:jc w:val="left"/>
            </w:pPr>
            <w:r>
              <w:t xml:space="preserve">900.00</w:t>
            </w:r>
          </w:p>
        </w:tc>
        <w:tc>
          <w:tcPr/>
          <w:p>
            <w:pPr>
              <w:pStyle w:val="Compact"/>
              <w:jc w:val="left"/>
            </w:pPr>
            <w:r>
              <w:t xml:space="preserve">21%</w:t>
            </w:r>
          </w:p>
        </w:tc>
      </w:tr>
      <w:tr>
        <w:tc>
          <w:tcPr/>
          <w:p>
            <w:pPr>
              <w:pStyle w:val="Compact"/>
              <w:jc w:val="left"/>
            </w:pPr>
            <w:r>
              <w:t xml:space="preserve">03</w:t>
            </w:r>
          </w:p>
        </w:tc>
        <w:tc>
          <w:tcPr/>
          <w:p>
            <w:pPr>
              <w:pStyle w:val="Compact"/>
              <w:jc w:val="left"/>
            </w:pPr>
            <w:r>
              <w:t xml:space="preserve">Preparation of the annual income tax return (Modelo 200) and corporate tax return (Modelo 200) for the fiscal year 2024, including all supporting documentation, tax computations, and submission to the AEAT on behalf of the client registered in Barcelona, Spain.</w:t>
            </w:r>
          </w:p>
        </w:tc>
        <w:tc>
          <w:tcPr/>
          <w:p>
            <w:pPr>
              <w:pStyle w:val="Compact"/>
              <w:jc w:val="left"/>
            </w:pPr>
            <w:r>
              <w:t xml:space="preserve">28.0</w:t>
            </w:r>
          </w:p>
        </w:tc>
        <w:tc>
          <w:tcPr/>
          <w:p>
            <w:pPr>
              <w:pStyle w:val="Compact"/>
              <w:jc w:val="left"/>
            </w:pPr>
            <w:r>
              <w:t xml:space="preserve">80.00</w:t>
            </w:r>
          </w:p>
        </w:tc>
        <w:tc>
          <w:tcPr/>
          <w:p>
            <w:pPr>
              <w:pStyle w:val="Compact"/>
              <w:jc w:val="left"/>
            </w:pPr>
            <w:r>
              <w:t xml:space="preserve">2,240.00</w:t>
            </w:r>
          </w:p>
        </w:tc>
        <w:tc>
          <w:tcPr/>
          <w:p>
            <w:pPr>
              <w:pStyle w:val="Compact"/>
              <w:jc w:val="left"/>
            </w:pPr>
            <w:r>
              <w:t xml:space="preserve">21%</w:t>
            </w:r>
          </w:p>
        </w:tc>
      </w:tr>
      <w:tr>
        <w:tc>
          <w:tcPr/>
          <w:p>
            <w:pPr>
              <w:pStyle w:val="Compact"/>
              <w:jc w:val="left"/>
            </w:pPr>
            <w:r>
              <w:t xml:space="preserve">04</w:t>
            </w:r>
          </w:p>
        </w:tc>
        <w:tc>
          <w:tcPr/>
          <w:p>
            <w:pPr>
              <w:pStyle w:val="Compact"/>
              <w:jc w:val="left"/>
            </w:pPr>
            <w:r>
              <w:t xml:space="preserve">Payroll accounting and social security declarations (Modelo 111 and Modelo 190) for 14 employees, processed in accordance with the Spanish Social Security regulations and the applicable collective bargaining agreements in the Barcelona metropolitan area.</w:t>
            </w:r>
          </w:p>
        </w:tc>
        <w:tc>
          <w:tcPr/>
          <w:p>
            <w:pPr>
              <w:pStyle w:val="Compact"/>
              <w:jc w:val="left"/>
            </w:pPr>
            <w:r>
              <w:t xml:space="preserve">35.0</w:t>
            </w:r>
          </w:p>
        </w:tc>
        <w:tc>
          <w:tcPr/>
          <w:p>
            <w:pPr>
              <w:pStyle w:val="Compact"/>
              <w:jc w:val="left"/>
            </w:pPr>
            <w:r>
              <w:t xml:space="preserve">60.00</w:t>
            </w:r>
          </w:p>
        </w:tc>
        <w:tc>
          <w:tcPr/>
          <w:p>
            <w:pPr>
              <w:pStyle w:val="Compact"/>
              <w:jc w:val="left"/>
            </w:pPr>
            <w:r>
              <w:t xml:space="preserve">2,100.00</w:t>
            </w:r>
          </w:p>
        </w:tc>
        <w:tc>
          <w:tcPr/>
          <w:p>
            <w:pPr>
              <w:pStyle w:val="Compact"/>
              <w:jc w:val="left"/>
            </w:pPr>
            <w:r>
              <w:t xml:space="preserve">21%</w:t>
            </w:r>
          </w:p>
        </w:tc>
      </w:tr>
      <w:tr>
        <w:tc>
          <w:tcPr/>
          <w:p>
            <w:pPr>
              <w:pStyle w:val="Compact"/>
              <w:jc w:val="left"/>
            </w:pPr>
            <w:r>
              <w:t xml:space="preserve">05</w:t>
            </w:r>
          </w:p>
        </w:tc>
        <w:tc>
          <w:tcPr/>
          <w:p>
            <w:pPr>
              <w:pStyle w:val="Compact"/>
              <w:jc w:val="left"/>
            </w:pPr>
            <w:r>
              <w:t xml:space="preserve">Advisory and consultation services regarding tax optimisation strategies, including analysis of applicable deductions under the Catalan regional tax framework and the national Spanish tax code, with a dedicated meeting held at our Barcelona office.</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c>
          <w:tcPr/>
          <w:p>
            <w:pPr>
              <w:pStyle w:val="Compact"/>
              <w:jc w:val="left"/>
            </w:pPr>
            <w:r>
              <w:t xml:space="preserve">21%</w:t>
            </w:r>
          </w:p>
        </w:tc>
      </w:tr>
      <w:tr>
        <w:tc>
          <w:tcPr/>
          <w:p>
            <w:pPr>
              <w:pStyle w:val="Compact"/>
              <w:jc w:val="left"/>
            </w:pPr>
            <w:r>
              <w:t xml:space="preserve">06</w:t>
            </w:r>
          </w:p>
        </w:tc>
        <w:tc>
          <w:tcPr/>
          <w:p>
            <w:pPr>
              <w:pStyle w:val="Compact"/>
              <w:jc w:val="left"/>
            </w:pPr>
            <w:r>
              <w:t xml:space="preserve">Preparation of interim financial statements (balance sheet, income statement, and cash flow statement) for the first quarter of 2025 in accordance with the Spanish Commercial Code (Código de Comercio) and applicable accounting standards.</w:t>
            </w:r>
          </w:p>
        </w:tc>
        <w:tc>
          <w:tcPr/>
          <w:p>
            <w:pPr>
              <w:pStyle w:val="Compact"/>
              <w:jc w:val="left"/>
            </w:pPr>
            <w:r>
              <w:t xml:space="preserve">15.0</w:t>
            </w:r>
          </w:p>
        </w:tc>
        <w:tc>
          <w:tcPr/>
          <w:p>
            <w:pPr>
              <w:pStyle w:val="Compact"/>
              <w:jc w:val="left"/>
            </w:pPr>
            <w:r>
              <w:t xml:space="preserve">70.00</w:t>
            </w:r>
          </w:p>
        </w:tc>
        <w:tc>
          <w:tcPr/>
          <w:p>
            <w:pPr>
              <w:pStyle w:val="Compact"/>
              <w:jc w:val="left"/>
            </w:pPr>
            <w:r>
              <w:t xml:space="preserve">1,050.00</w:t>
            </w:r>
          </w:p>
        </w:tc>
        <w:tc>
          <w:tcPr/>
          <w:p>
            <w:pPr>
              <w:pStyle w:val="Compact"/>
              <w:jc w:val="left"/>
            </w:pPr>
            <w:r>
              <w:t xml:space="preserve">21%</w:t>
            </w:r>
          </w:p>
        </w:tc>
      </w:tr>
      <w:tr>
        <w:tc>
          <w:tcPr/>
          <w:p>
            <w:pPr>
              <w:pStyle w:val="Compact"/>
              <w:jc w:val="left"/>
            </w:pPr>
            <w:r>
              <w:t xml:space="preserve">07</w:t>
            </w:r>
          </w:p>
        </w:tc>
        <w:tc>
          <w:tcPr/>
          <w:p>
            <w:pPr>
              <w:pStyle w:val="Compact"/>
              <w:jc w:val="left"/>
            </w:pPr>
            <w:r>
              <w:t xml:space="preserve">Annual audit support and coordination with the external auditor appointed by the client, including provision of all necessary accounting records, schedules, and management representations required for the statutory audit of the company operating in Spain Barcelona.</w:t>
            </w:r>
          </w:p>
        </w:tc>
        <w:tc>
          <w:tcPr/>
          <w:p>
            <w:pPr>
              <w:pStyle w:val="Compact"/>
              <w:jc w:val="left"/>
            </w:pPr>
            <w:r>
              <w:t xml:space="preserve">10.0</w:t>
            </w:r>
          </w:p>
        </w:tc>
        <w:tc>
          <w:tcPr/>
          <w:p>
            <w:pPr>
              <w:pStyle w:val="Compact"/>
              <w:jc w:val="left"/>
            </w:pPr>
            <w:r>
              <w:t xml:space="preserve">75.00</w:t>
            </w:r>
          </w:p>
        </w:tc>
        <w:tc>
          <w:tcPr/>
          <w:p>
            <w:pPr>
              <w:pStyle w:val="Compact"/>
              <w:jc w:val="left"/>
            </w:pPr>
            <w:r>
              <w:t xml:space="preserve">750.00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left"/>
            </w:pPr>
            <w:r>
              <w:t xml:space="preserve">€ 10,725.00</w:t>
            </w:r>
          </w:p>
        </w:tc>
      </w:tr>
      <w:tr>
        <w:tc>
          <w:tcPr/>
          <w:p>
            <w:pPr>
              <w:pStyle w:val="Compact"/>
              <w:jc w:val="left"/>
            </w:pPr>
            <w:r>
              <w:t xml:space="preserve">IVA (21% Spanish VAT)</w:t>
            </w:r>
          </w:p>
        </w:tc>
        <w:tc>
          <w:tcPr/>
          <w:p>
            <w:pPr>
              <w:pStyle w:val="Compact"/>
              <w:jc w:val="left"/>
            </w:pPr>
            <w:r>
              <w:t xml:space="preserve">€ 2,252.25</w:t>
            </w:r>
          </w:p>
        </w:tc>
      </w:tr>
      <w:tr>
        <w:tc>
          <w:tcPr/>
          <w:p>
            <w:pPr>
              <w:pStyle w:val="Compact"/>
              <w:jc w:val="left"/>
            </w:pPr>
            <w:r>
              <w:t xml:space="preserve">TOTAL AMOUNT DUE</w:t>
            </w:r>
          </w:p>
        </w:tc>
        <w:tc>
          <w:tcPr/>
          <w:p>
            <w:pPr>
              <w:pStyle w:val="Compact"/>
              <w:jc w:val="left"/>
            </w:pPr>
            <w:r>
              <w:t xml:space="preserve">€ 12,977.25</w:t>
            </w:r>
          </w:p>
        </w:tc>
      </w:tr>
    </w:tbl>
    <w:bookmarkStart w:id="24" w:name="payment-instructions"/>
    <w:p>
      <w:pPr>
        <w:pStyle w:val="Heading3"/>
      </w:pPr>
      <w:r>
        <w:t xml:space="preserve">Payment Instructions</w:t>
      </w:r>
    </w:p>
    <w:p>
      <w:pPr>
        <w:pStyle w:val="FirstParagraph"/>
      </w:pPr>
      <w:r>
        <w:rPr>
          <w:bCs/>
          <w:b/>
        </w:rPr>
        <w:t xml:space="preserve">Bank Transfer (Transferencia Bancaria):</w:t>
      </w:r>
    </w:p>
    <w:p>
      <w:pPr>
        <w:pStyle w:val="BodyText"/>
      </w:pPr>
      <w:r>
        <w:t xml:space="preserve">IBAN: ES91 2100 0418 4502 0005 1332</w:t>
      </w:r>
    </w:p>
    <w:p>
      <w:pPr>
        <w:pStyle w:val="BodyText"/>
      </w:pPr>
      <w:r>
        <w:t xml:space="preserve">BIC/SWIFT: CAIXESBBXXX</w:t>
      </w:r>
    </w:p>
    <w:p>
      <w:pPr>
        <w:pStyle w:val="BodyText"/>
      </w:pPr>
      <w:r>
        <w:t xml:space="preserve">Bank: CaixaBank S.A., Barcelona Branch</w:t>
      </w:r>
    </w:p>
    <w:p>
      <w:pPr>
        <w:pStyle w:val="BodyText"/>
      </w:pPr>
      <w:r>
        <w:rPr>
          <w:bCs/>
          <w:b/>
        </w:rPr>
        <w:t xml:space="preserve">Reference:</w:t>
      </w:r>
      <w:r>
        <w:t xml:space="preserve"> </w:t>
      </w:r>
      <w:r>
        <w:t xml:space="preserve">Please include Invoice No. INV-2025-0487 in the transfer reference field.</w:t>
      </w:r>
    </w:p>
    <w:p>
      <w:pPr>
        <w:pStyle w:val="BodyText"/>
      </w:pPr>
      <w:r>
        <w:rPr>
          <w:bCs/>
          <w:b/>
        </w:rPr>
        <w:t xml:space="preserve">Payment Terms:</w:t>
      </w:r>
      <w:r>
        <w:t xml:space="preserve"> </w:t>
      </w:r>
      <w:r>
        <w:t xml:space="preserve">Net 30 days from the date of this invoice. Payment is due no later than 15 July 2025. Late payments will be subject to the statutory interest rate established under Spanish Royal Decree 4/2013 on late payment in commercial transactions.</w:t>
      </w:r>
    </w:p>
    <w:bookmarkEnd w:id="24"/>
    <w:bookmarkStart w:id="25" w:name="important-notes-terms"/>
    <w:p>
      <w:pPr>
        <w:pStyle w:val="Heading3"/>
      </w:pPr>
      <w:r>
        <w:t xml:space="preserve">Important Notes &amp; Terms</w:t>
      </w:r>
    </w:p>
    <w:p>
      <w:pPr>
        <w:pStyle w:val="FirstParagraph"/>
      </w:pPr>
      <w:r>
        <w:t xml:space="preserve">1. This invoice is issued in accordance with the Spanish Tax Agency (AEAT) regulations for electronic invoicing (Factura Electrónica) and the applicable provisions of the Ley 58/2003 General Tax Law (Ley General Tributaria).</w:t>
      </w:r>
    </w:p>
    <w:p>
      <w:pPr>
        <w:pStyle w:val="BodyText"/>
      </w:pPr>
      <w:r>
        <w:t xml:space="preserve">2. All accountant services described herein were performed by a licensed professional accountant registered with the Col·legi Oficial d'Agents Comptables de Catalunya, operating from our registered office in Spain Barcelona.</w:t>
      </w:r>
    </w:p>
    <w:p>
      <w:pPr>
        <w:pStyle w:val="BodyText"/>
      </w:pPr>
      <w:r>
        <w:t xml:space="preserve">3. The IVA (Impuesto sobre el Valor Añadido) rate of 21% applied on this invoice is the standard Spanish VAT rate applicable to professional accounting and advisory services as of the date of issue.</w:t>
      </w:r>
    </w:p>
    <w:p>
      <w:pPr>
        <w:pStyle w:val="BodyText"/>
      </w:pPr>
      <w:r>
        <w:t xml:space="preserve">4. This invoice constitutes a valid tax document for the purposes of deducting IVA as a creditable tax under Article 108 of the Spanish VAT Law (Ley 37/1992).</w:t>
      </w:r>
    </w:p>
    <w:p>
      <w:pPr>
        <w:pStyle w:val="BodyText"/>
      </w:pPr>
      <w:r>
        <w:t xml:space="preserve">5. Any disputes arising from this invoice or the services rendered shall be subject to the jurisdiction of the courts of Barcelona, Spain, in accordance with the applicable provisions of the Spanish Civil Procedure Law (Ley de Enjuiciamiento Civil).</w:t>
      </w:r>
    </w:p>
    <w:p>
      <w:pPr>
        <w:pStyle w:val="BodyText"/>
      </w:pPr>
      <w:r>
        <w:t xml:space="preserve">6. The client acknowledges that all financial data, tax filings, and accounting records prepared by this accountant firm are subject to professional confidentiality obligations under the Spanish Data Protection Regulation (RGPD) and the Ley Orgánica 3/2018.</w:t>
      </w:r>
    </w:p>
    <w:bookmarkEnd w:id="25"/>
    <w:p>
      <w:pPr>
        <w:pStyle w:val="BodyText"/>
      </w:pPr>
      <w:r>
        <w:rPr>
          <w:bCs/>
          <w:b/>
        </w:rPr>
        <w:t xml:space="preserve">Barcelona Accountant &amp; Tax Advisory S.L.</w:t>
      </w:r>
      <w:r>
        <w:t xml:space="preserve"> </w:t>
      </w:r>
      <w:r>
        <w:t xml:space="preserve">– Carrer de la Rambla, 142, 08002 Barcelona, Spain</w:t>
      </w:r>
    </w:p>
    <w:p>
      <w:pPr>
        <w:pStyle w:val="BodyText"/>
      </w:pPr>
      <w:r>
        <w:t xml:space="preserve">NIF: B-65432109 | Registered in the Mercantile Registry of Barcelona, Volume 4521, Folio 89, Sheet B-456789</w:t>
      </w:r>
    </w:p>
    <w:p>
      <w:pPr>
        <w:pStyle w:val="BodyText"/>
      </w:pPr>
      <w:r>
        <w:t xml:space="preserve">This invoice was generated electronically and is valid without a physical signature in accordance with Spanish electronic document regulations.</w:t>
      </w:r>
    </w:p>
    <w:p>
      <w:pPr>
        <w:pStyle w:val="BodyText"/>
      </w:pPr>
      <w:r>
        <w:t xml:space="preserve">Thank you for choosing our accountant services in Spain Barcelona.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Spain Barcelona</dc:title>
  <dc:creator/>
  <dc:language>en</dc:language>
  <cp:keywords/>
  <dcterms:created xsi:type="dcterms:W3CDTF">2026-10-10T05:48:11Z</dcterms:created>
  <dcterms:modified xsi:type="dcterms:W3CDTF">2026-10-10T05:48:11Z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