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siam-professional-accountant-co.-ltd."/>
    <w:p>
      <w:pPr>
        <w:pStyle w:val="Heading1"/>
      </w:pPr>
      <w:r>
        <w:t xml:space="preserve">Siam Professional Accountant Co., Ltd.</w:t>
      </w:r>
    </w:p>
    <w:p>
      <w:pPr>
        <w:pStyle w:val="FirstParagraph"/>
      </w:pPr>
      <w:r>
        <w:t xml:space="preserve">128/44 Sukhumvit Road, Khlong Toei</w:t>
      </w:r>
    </w:p>
    <w:p>
      <w:pPr>
        <w:pStyle w:val="BodyText"/>
      </w:pPr>
      <w:r>
        <w:t xml:space="preserve">Bangkok 10110, Thailand</w:t>
      </w:r>
    </w:p>
    <w:p>
      <w:pPr>
        <w:pStyle w:val="BodyText"/>
      </w:pPr>
      <w:r>
        <w:t xml:space="preserve">Tax ID: 0-1055-48291-30-7</w:t>
      </w:r>
    </w:p>
    <w:p>
      <w:pPr>
        <w:pStyle w:val="BodyText"/>
      </w:pPr>
      <w:r>
        <w:t xml:space="preserve">Tel: +66-2-254-8831 | Email: billing@siamaccountant.co.th</w:t>
      </w:r>
    </w:p>
    <w:p>
      <w:pPr>
        <w:pStyle w:val="BodyText"/>
      </w:pPr>
      <w:r>
        <w:t xml:space="preserve">Registered with the Thai Institute of Certified Public Accountants (TICPA)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INV-2025-BKK-0472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April 2025 – 30 June 2025</w:t>
      </w:r>
    </w:p>
    <w:p>
      <w:pPr>
        <w:pStyle w:val="BodyText"/>
      </w:pPr>
      <w:r>
        <w:t xml:space="preserve">Pending Payment</w:t>
      </w:r>
    </w:p>
    <w:bookmarkEnd w:id="21"/>
    <w:bookmarkStart w:id="22" w:name="bill-from-accountant"/>
    <w:p>
      <w:pPr>
        <w:pStyle w:val="Heading3"/>
      </w:pPr>
      <w:r>
        <w:t xml:space="preserve">Bill From (Accountant)</w:t>
      </w:r>
    </w:p>
    <w:p>
      <w:pPr>
        <w:pStyle w:val="FirstParagraph"/>
      </w:pPr>
      <w:r>
        <w:rPr>
          <w:bCs/>
          <w:b/>
        </w:rPr>
        <w:t xml:space="preserve">Siam Professional Accountant Co., Ltd.</w:t>
      </w:r>
    </w:p>
    <w:p>
      <w:pPr>
        <w:pStyle w:val="BodyText"/>
      </w:pPr>
      <w:r>
        <w:t xml:space="preserve">128/44 Sukhumvit Road, Khlong Toei</w:t>
      </w:r>
    </w:p>
    <w:p>
      <w:pPr>
        <w:pStyle w:val="BodyText"/>
      </w:pPr>
      <w:r>
        <w:t xml:space="preserve">Bangkok 10110, Thailand</w:t>
      </w:r>
    </w:p>
    <w:p>
      <w:pPr>
        <w:pStyle w:val="BodyText"/>
      </w:pPr>
      <w:r>
        <w:t xml:space="preserve">Accountant in Charge: Mr. Somchai Prasert</w:t>
      </w:r>
    </w:p>
    <w:p>
      <w:pPr>
        <w:pStyle w:val="BodyText"/>
      </w:pPr>
      <w:r>
        <w:t xml:space="preserve">TICPA License No. 4521-BKK</w:t>
      </w:r>
    </w:p>
    <w:bookmarkEnd w:id="22"/>
    <w:bookmarkStart w:id="23" w:name="bill-to-client"/>
    <w:p>
      <w:pPr>
        <w:pStyle w:val="Heading3"/>
      </w:pPr>
      <w:r>
        <w:t xml:space="preserve">Bill To (Client)</w:t>
      </w:r>
    </w:p>
    <w:p>
      <w:pPr>
        <w:pStyle w:val="FirstParagraph"/>
      </w:pPr>
      <w:r>
        <w:rPr>
          <w:bCs/>
          <w:b/>
        </w:rPr>
        <w:t xml:space="preserve">Chulalongkorn Trading Enterprise Co., Ltd.</w:t>
      </w:r>
    </w:p>
    <w:p>
      <w:pPr>
        <w:pStyle w:val="BodyText"/>
      </w:pPr>
      <w:r>
        <w:t xml:space="preserve">77/12 Rama IV Road, Wang Doem</w:t>
      </w:r>
    </w:p>
    <w:p>
      <w:pPr>
        <w:pStyle w:val="BodyText"/>
      </w:pPr>
      <w:r>
        <w:t xml:space="preserve">Bangkok 10110, Thailand</w:t>
      </w:r>
    </w:p>
    <w:p>
      <w:pPr>
        <w:pStyle w:val="BodyText"/>
      </w:pPr>
      <w:r>
        <w:t xml:space="preserve">Contact: Ms. Nattaya Wongprasert</w:t>
      </w:r>
    </w:p>
    <w:p>
      <w:pPr>
        <w:pStyle w:val="BodyText"/>
      </w:pPr>
      <w:r>
        <w:t xml:space="preserve">Tax ID: 0-1055-67342-10-5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Accountant Services</w:t>
            </w:r>
          </w:p>
        </w:tc>
        <w:tc>
          <w:tcPr/>
          <w:p>
            <w:pPr>
              <w:pStyle w:val="Compact"/>
              <w:jc w:val="left"/>
            </w:pPr>
            <w:r>
              <w:t xml:space="preserve">Service Period</w:t>
            </w:r>
          </w:p>
        </w:tc>
        <w:tc>
          <w:tcPr/>
          <w:p>
            <w:pPr>
              <w:pStyle w:val="Compact"/>
              <w:jc w:val="left"/>
            </w:pPr>
            <w:r>
              <w:t xml:space="preserve">Rate (THB)</w:t>
            </w:r>
          </w:p>
        </w:tc>
        <w:tc>
          <w:tcPr/>
          <w:p>
            <w:pPr>
              <w:pStyle w:val="Compact"/>
              <w:jc w:val="left"/>
            </w:pPr>
            <w:r>
              <w:t xml:space="preserve">Qty</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Monthly bookkeeping and financial record maintenance for the client's operations in Thailand Bangkok, including journal entries, ledger reconciliation, and trial balance preparation.</w:t>
            </w:r>
          </w:p>
        </w:tc>
        <w:tc>
          <w:tcPr/>
          <w:p>
            <w:pPr>
              <w:pStyle w:val="Compact"/>
              <w:jc w:val="left"/>
            </w:pPr>
            <w:r>
              <w:t xml:space="preserve">Apr – Jun 2025</w:t>
            </w:r>
          </w:p>
        </w:tc>
        <w:tc>
          <w:tcPr/>
          <w:p>
            <w:pPr>
              <w:pStyle w:val="Compact"/>
              <w:jc w:val="left"/>
            </w:pPr>
            <w:r>
              <w:t xml:space="preserve">18,000</w:t>
            </w:r>
          </w:p>
        </w:tc>
        <w:tc>
          <w:tcPr/>
          <w:p>
            <w:pPr>
              <w:pStyle w:val="Compact"/>
              <w:jc w:val="left"/>
            </w:pPr>
            <w:r>
              <w:t xml:space="preserve">3</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Preparation and filing of monthly Value Added Tax (VAT) returns (PP.60, PP.61) with the Revenue Department of Thailand Bangkok, ensuring full compliance with Thai tax regulations.</w:t>
            </w:r>
          </w:p>
        </w:tc>
        <w:tc>
          <w:tcPr/>
          <w:p>
            <w:pPr>
              <w:pStyle w:val="Compact"/>
              <w:jc w:val="left"/>
            </w:pPr>
            <w:r>
              <w:t xml:space="preserve">Apr – Jun 2025</w:t>
            </w:r>
          </w:p>
        </w:tc>
        <w:tc>
          <w:tcPr/>
          <w:p>
            <w:pPr>
              <w:pStyle w:val="Compact"/>
              <w:jc w:val="left"/>
            </w:pPr>
            <w:r>
              <w:t xml:space="preserve">5,500</w:t>
            </w:r>
          </w:p>
        </w:tc>
        <w:tc>
          <w:tcPr/>
          <w:p>
            <w:pPr>
              <w:pStyle w:val="Compact"/>
              <w:jc w:val="left"/>
            </w:pPr>
            <w:r>
              <w:t xml:space="preserve">3</w:t>
            </w:r>
          </w:p>
        </w:tc>
        <w:tc>
          <w:tcPr/>
          <w:p>
            <w:pPr>
              <w:pStyle w:val="Compact"/>
              <w:jc w:val="left"/>
            </w:pPr>
            <w:r>
              <w:t xml:space="preserve">16,500.00</w:t>
            </w:r>
          </w:p>
        </w:tc>
      </w:tr>
      <w:tr>
        <w:tc>
          <w:tcPr/>
          <w:p>
            <w:pPr>
              <w:pStyle w:val="Compact"/>
              <w:jc w:val="left"/>
            </w:pPr>
            <w:r>
              <w:t xml:space="preserve">3</w:t>
            </w:r>
          </w:p>
        </w:tc>
        <w:tc>
          <w:tcPr/>
          <w:p>
            <w:pPr>
              <w:pStyle w:val="Compact"/>
              <w:jc w:val="left"/>
            </w:pPr>
            <w:r>
              <w:t xml:space="preserve">Preparation of quarterly corporate income tax filing (PP.30) and withholding tax reports (P.N.D. 53, 54) for the Thailand Bangkok business entity.</w:t>
            </w:r>
          </w:p>
        </w:tc>
        <w:tc>
          <w:tcPr/>
          <w:p>
            <w:pPr>
              <w:pStyle w:val="Compact"/>
              <w:jc w:val="left"/>
            </w:pPr>
            <w:r>
              <w:t xml:space="preserve">Q2 2025</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Payroll processing and social security contribution filings for 25 employees under the Social Security Office jurisdiction in Thailand Bangkok.</w:t>
            </w:r>
          </w:p>
        </w:tc>
        <w:tc>
          <w:tcPr/>
          <w:p>
            <w:pPr>
              <w:pStyle w:val="Compact"/>
              <w:jc w:val="left"/>
            </w:pPr>
            <w:r>
              <w:t xml:space="preserve">Apr – Jun 2025</w:t>
            </w:r>
          </w:p>
        </w:tc>
        <w:tc>
          <w:tcPr/>
          <w:p>
            <w:pPr>
              <w:pStyle w:val="Compact"/>
              <w:jc w:val="left"/>
            </w:pPr>
            <w:r>
              <w:t xml:space="preserve">8,500</w:t>
            </w:r>
          </w:p>
        </w:tc>
        <w:tc>
          <w:tcPr/>
          <w:p>
            <w:pPr>
              <w:pStyle w:val="Compact"/>
              <w:jc w:val="left"/>
            </w:pPr>
            <w:r>
              <w:t xml:space="preserve">3</w:t>
            </w:r>
          </w:p>
        </w:tc>
        <w:tc>
          <w:tcPr/>
          <w:p>
            <w:pPr>
              <w:pStyle w:val="Compact"/>
              <w:jc w:val="left"/>
            </w:pPr>
            <w:r>
              <w:t xml:space="preserve">25,500.00</w:t>
            </w:r>
          </w:p>
        </w:tc>
      </w:tr>
      <w:tr>
        <w:tc>
          <w:tcPr/>
          <w:p>
            <w:pPr>
              <w:pStyle w:val="Compact"/>
              <w:jc w:val="left"/>
            </w:pPr>
            <w:r>
              <w:t xml:space="preserve">5</w:t>
            </w:r>
          </w:p>
        </w:tc>
        <w:tc>
          <w:tcPr/>
          <w:p>
            <w:pPr>
              <w:pStyle w:val="Compact"/>
              <w:jc w:val="left"/>
            </w:pPr>
            <w:r>
              <w:t xml:space="preserve">Monthly management accounting reports, cash flow analysis, and budget variance reports delivered to the client's board of directors in Bangkok.</w:t>
            </w:r>
          </w:p>
        </w:tc>
        <w:tc>
          <w:tcPr/>
          <w:p>
            <w:pPr>
              <w:pStyle w:val="Compact"/>
              <w:jc w:val="left"/>
            </w:pPr>
            <w:r>
              <w:t xml:space="preserve">Apr – Jun 2025</w:t>
            </w:r>
          </w:p>
        </w:tc>
        <w:tc>
          <w:tcPr/>
          <w:p>
            <w:pPr>
              <w:pStyle w:val="Compact"/>
              <w:jc w:val="left"/>
            </w:pPr>
            <w:r>
              <w:t xml:space="preserve">10,000</w:t>
            </w:r>
          </w:p>
        </w:tc>
        <w:tc>
          <w:tcPr/>
          <w:p>
            <w:pPr>
              <w:pStyle w:val="Compact"/>
              <w:jc w:val="left"/>
            </w:pPr>
            <w:r>
              <w:t xml:space="preserve">3</w:t>
            </w:r>
          </w:p>
        </w:tc>
        <w:tc>
          <w:tcPr/>
          <w:p>
            <w:pPr>
              <w:pStyle w:val="Compact"/>
              <w:jc w:val="left"/>
            </w:pPr>
            <w:r>
              <w:t xml:space="preserve">30,000.00</w:t>
            </w:r>
          </w:p>
        </w:tc>
      </w:tr>
      <w:tr>
        <w:tc>
          <w:tcPr/>
          <w:p>
            <w:pPr>
              <w:pStyle w:val="Compact"/>
              <w:jc w:val="left"/>
            </w:pPr>
            <w:r>
              <w:t xml:space="preserve">6</w:t>
            </w:r>
          </w:p>
        </w:tc>
        <w:tc>
          <w:tcPr/>
          <w:p>
            <w:pPr>
              <w:pStyle w:val="Compact"/>
              <w:jc w:val="left"/>
            </w:pPr>
            <w:r>
              <w:t xml:space="preserve">Advisory consultation on Thai corporate tax planning, transfer pricing documentation, and regulatory compliance updates specific to businesses operating in Thailand Bangkok.</w:t>
            </w:r>
          </w:p>
        </w:tc>
        <w:tc>
          <w:tcPr/>
          <w:p>
            <w:pPr>
              <w:pStyle w:val="Compact"/>
              <w:jc w:val="left"/>
            </w:pPr>
            <w:r>
              <w:t xml:space="preserve">Apr – Jun 2025</w:t>
            </w:r>
          </w:p>
        </w:tc>
        <w:tc>
          <w:tcPr/>
          <w:p>
            <w:pPr>
              <w:pStyle w:val="Compact"/>
              <w:jc w:val="left"/>
            </w:pPr>
            <w:r>
              <w:t xml:space="preserve">15,000</w:t>
            </w:r>
          </w:p>
        </w:tc>
        <w:tc>
          <w:tcPr/>
          <w:p>
            <w:pPr>
              <w:pStyle w:val="Compact"/>
              <w:jc w:val="left"/>
            </w:pPr>
            <w:r>
              <w:t xml:space="preserve">3</w:t>
            </w:r>
          </w:p>
        </w:tc>
        <w:tc>
          <w:tcPr/>
          <w:p>
            <w:pPr>
              <w:pStyle w:val="Compact"/>
              <w:jc w:val="left"/>
            </w:pPr>
            <w:r>
              <w:t xml:space="preserve">45,000.00</w:t>
            </w:r>
          </w:p>
        </w:tc>
      </w:tr>
      <w:tr>
        <w:tc>
          <w:tcPr/>
          <w:p>
            <w:pPr>
              <w:pStyle w:val="Compact"/>
              <w:jc w:val="left"/>
            </w:pPr>
            <w:r>
              <w:t xml:space="preserve">7</w:t>
            </w:r>
          </w:p>
        </w:tc>
        <w:tc>
          <w:tcPr/>
          <w:p>
            <w:pPr>
              <w:pStyle w:val="Compact"/>
              <w:jc w:val="left"/>
            </w:pPr>
            <w:r>
              <w:t xml:space="preserve">Annual financial statement preparation (balance sheet, income statement, cash flow statement) in accordance with Thai Financial Reporting Standards (TFRS) for the fiscal year ending 31 December 2025 (interim review).</w:t>
            </w:r>
          </w:p>
        </w:tc>
        <w:tc>
          <w:tcPr/>
          <w:p>
            <w:pPr>
              <w:pStyle w:val="Compact"/>
              <w:jc w:val="left"/>
            </w:pPr>
            <w:r>
              <w:t xml:space="preserve">Q2 2025</w:t>
            </w:r>
          </w:p>
        </w:tc>
        <w:tc>
          <w:tcPr/>
          <w:p>
            <w:pPr>
              <w:pStyle w:val="Compact"/>
              <w:jc w:val="left"/>
            </w:pPr>
            <w:r>
              <w:t xml:space="preserve">22,000</w:t>
            </w:r>
          </w:p>
        </w:tc>
        <w:tc>
          <w:tcPr/>
          <w:p>
            <w:pPr>
              <w:pStyle w:val="Compact"/>
              <w:jc w:val="left"/>
            </w:pPr>
            <w:r>
              <w:t xml:space="preserve">1</w:t>
            </w:r>
          </w:p>
        </w:tc>
        <w:tc>
          <w:tcPr/>
          <w:p>
            <w:pPr>
              <w:pStyle w:val="Compact"/>
              <w:jc w:val="left"/>
            </w:pPr>
            <w:r>
              <w:t xml:space="preserve">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205,000.00</w:t>
            </w:r>
          </w:p>
        </w:tc>
      </w:tr>
      <w:tr>
        <w:tc>
          <w:tcPr/>
          <w:p>
            <w:pPr>
              <w:pStyle w:val="Compact"/>
              <w:jc w:val="left"/>
            </w:pPr>
            <w:r>
              <w:t xml:space="preserve">VAT (7% per Thai Revenue Department)</w:t>
            </w:r>
          </w:p>
        </w:tc>
        <w:tc>
          <w:tcPr/>
          <w:p>
            <w:pPr>
              <w:pStyle w:val="Compact"/>
              <w:jc w:val="left"/>
            </w:pPr>
            <w:r>
              <w:t xml:space="preserve">14,350.00</w:t>
            </w:r>
          </w:p>
        </w:tc>
      </w:tr>
      <w:tr>
        <w:tc>
          <w:tcPr/>
          <w:p>
            <w:pPr>
              <w:pStyle w:val="Compact"/>
              <w:jc w:val="left"/>
            </w:pPr>
            <w:r>
              <w:t xml:space="preserve">Total Amount Due (THB)</w:t>
            </w:r>
          </w:p>
        </w:tc>
        <w:tc>
          <w:tcPr/>
          <w:p>
            <w:pPr>
              <w:pStyle w:val="Compact"/>
              <w:jc w:val="left"/>
            </w:pPr>
            <w:r>
              <w:t xml:space="preserve">219,350.00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Siam Commercial Bank (SCB), Sukhumvit Branch, Bangkok</w:t>
      </w:r>
    </w:p>
    <w:p>
      <w:pPr>
        <w:pStyle w:val="BodyText"/>
      </w:pPr>
      <w:r>
        <w:rPr>
          <w:bCs/>
          <w:b/>
        </w:rPr>
        <w:t xml:space="preserve">Account Name:</w:t>
      </w:r>
      <w:r>
        <w:t xml:space="preserve"> </w:t>
      </w:r>
      <w:r>
        <w:t xml:space="preserve">Siam Professional Accountant Co., Ltd.</w:t>
      </w:r>
    </w:p>
    <w:p>
      <w:pPr>
        <w:pStyle w:val="BodyText"/>
      </w:pPr>
      <w:r>
        <w:rPr>
          <w:bCs/>
          <w:b/>
        </w:rPr>
        <w:t xml:space="preserve">Account No.:</w:t>
      </w:r>
      <w:r>
        <w:t xml:space="preserve"> </w:t>
      </w:r>
      <w:r>
        <w:t xml:space="preserve">107-2-45891-3</w:t>
      </w:r>
    </w:p>
    <w:p>
      <w:pPr>
        <w:pStyle w:val="BodyText"/>
      </w:pPr>
      <w:r>
        <w:rPr>
          <w:bCs/>
          <w:b/>
        </w:rPr>
        <w:t xml:space="preserve">SWIFT Code:</w:t>
      </w:r>
      <w:r>
        <w:t xml:space="preserve"> </w:t>
      </w:r>
      <w:r>
        <w:t xml:space="preserve">SIBLTHBK</w:t>
      </w:r>
    </w:p>
    <w:p>
      <w:pPr>
        <w:pStyle w:val="BodyText"/>
      </w:pPr>
      <w:r>
        <w:rPr>
          <w:bCs/>
          <w:b/>
        </w:rPr>
        <w:t xml:space="preserve">Payment Method:</w:t>
      </w:r>
      <w:r>
        <w:t xml:space="preserve"> </w:t>
      </w:r>
      <w:r>
        <w:t xml:space="preserve">Bank Transfer (TFT) or PromptPay QR Code</w:t>
      </w:r>
    </w:p>
    <w:p>
      <w:pPr>
        <w:pStyle w:val="BodyText"/>
      </w:pPr>
      <w:r>
        <w:rPr>
          <w:bCs/>
          <w:b/>
        </w:rPr>
        <w:t xml:space="preserve">Reference:</w:t>
      </w:r>
      <w:r>
        <w:t xml:space="preserve"> </w:t>
      </w:r>
      <w:r>
        <w:t xml:space="preserve">Please cite Invoice No. INV-2025-BKK-0472 in your payment reference.</w:t>
      </w:r>
    </w:p>
    <w:p>
      <w:pPr>
        <w:pStyle w:val="BodyText"/>
      </w:pPr>
      <w:r>
        <w:rPr>
          <w:bCs/>
          <w:b/>
        </w:rPr>
        <w:t xml:space="preserve">Due Date:</w:t>
      </w:r>
      <w:r>
        <w:t xml:space="preserve"> </w:t>
      </w:r>
      <w:r>
        <w:t xml:space="preserve">30 June 2025. Late payments will incur a penalty of 1.5% per month as per Thai commercial law.</w:t>
      </w:r>
    </w:p>
    <w:bookmarkEnd w:id="24"/>
    <w:bookmarkStart w:id="25" w:name="terms-and-conditions"/>
    <w:p>
      <w:pPr>
        <w:pStyle w:val="Heading3"/>
      </w:pPr>
      <w:r>
        <w:t xml:space="preserve">Terms and Conditions</w:t>
      </w:r>
    </w:p>
    <w:p>
      <w:pPr>
        <w:numPr>
          <w:ilvl w:val="0"/>
          <w:numId w:val="1001"/>
        </w:numPr>
        <w:pStyle w:val="Compact"/>
      </w:pPr>
      <w:r>
        <w:t xml:space="preserve">This Invoice is issued by Siam Professional Accountant Co., Ltd., a licensed Accountant firm registered in Thailand Bangkok, and is governed by the laws of the Kingdom of Thailand.</w:t>
      </w:r>
    </w:p>
    <w:p>
      <w:pPr>
        <w:numPr>
          <w:ilvl w:val="0"/>
          <w:numId w:val="1001"/>
        </w:numPr>
        <w:pStyle w:val="Compact"/>
      </w:pPr>
      <w:r>
        <w:t xml:space="preserve">All services rendered by the Accountant are subject to the professional standards set by the Thai Institute of Certified Public Accountants (TICPA) and the Thai Accountancy Act B.E. 2547 (2004).</w:t>
      </w:r>
    </w:p>
    <w:p>
      <w:pPr>
        <w:numPr>
          <w:ilvl w:val="0"/>
          <w:numId w:val="1001"/>
        </w:numPr>
        <w:pStyle w:val="Compact"/>
      </w:pPr>
      <w:r>
        <w:t xml:space="preserve">The client agrees to provide all necessary financial documents, receipts, and supporting records to the Accountant within five (5) business days of the monthly service cycle to ensure timely filing with the Revenue Department in Thailand Bangkok.</w:t>
      </w:r>
    </w:p>
    <w:p>
      <w:pPr>
        <w:numPr>
          <w:ilvl w:val="0"/>
          <w:numId w:val="1001"/>
        </w:numPr>
        <w:pStyle w:val="Compact"/>
      </w:pPr>
      <w:r>
        <w:t xml:space="preserve">Payment is due within fifteen (15) calendar days from the Invoice date. Failure to pay by the due date will result in a late fee of 1.5% per month applied to the outstanding balance.</w:t>
      </w:r>
    </w:p>
    <w:p>
      <w:pPr>
        <w:numPr>
          <w:ilvl w:val="0"/>
          <w:numId w:val="1001"/>
        </w:numPr>
        <w:pStyle w:val="Compact"/>
      </w:pPr>
      <w:r>
        <w:t xml:space="preserve">The Accountant shall maintain strict confidentiality of all financial information provided by the client in accordance with the Personal Data Protection Act (PDPA) B.E. 2562 (2019) of Thailand.</w:t>
      </w:r>
    </w:p>
    <w:p>
      <w:pPr>
        <w:numPr>
          <w:ilvl w:val="0"/>
          <w:numId w:val="1001"/>
        </w:numPr>
        <w:pStyle w:val="Compact"/>
      </w:pPr>
      <w:r>
        <w:t xml:space="preserve">This Invoice is valid for ninety (90) days from the date of issue. After this period, the Accountant reserves the right to suspend services until payment is received in full.</w:t>
      </w:r>
    </w:p>
    <w:p>
      <w:pPr>
        <w:numPr>
          <w:ilvl w:val="0"/>
          <w:numId w:val="1001"/>
        </w:numPr>
        <w:pStyle w:val="Compact"/>
      </w:pPr>
      <w:r>
        <w:t xml:space="preserve">All disputes arising from this Invoice and the associated services shall be resolved through the courts of competent jurisdiction in Bangkok, Thailand.</w:t>
      </w:r>
    </w:p>
    <w:p>
      <w:pPr>
        <w:numPr>
          <w:ilvl w:val="0"/>
          <w:numId w:val="1001"/>
        </w:numPr>
        <w:pStyle w:val="Compact"/>
      </w:pPr>
      <w:r>
        <w:t xml:space="preserve">The Accountant is not liable for any penalties, fines, or interest imposed by the Revenue Department of Thailand Bangkok due to incomplete or inaccurate information provided by the client.</w:t>
      </w:r>
    </w:p>
    <w:bookmarkEnd w:id="25"/>
    <w:bookmarkStart w:id="26" w:name="notes-and-additional-information"/>
    <w:p>
      <w:pPr>
        <w:pStyle w:val="Heading3"/>
      </w:pPr>
      <w:r>
        <w:t xml:space="preserve">Notes and Additional Information</w:t>
      </w:r>
    </w:p>
    <w:p>
      <w:pPr>
        <w:pStyle w:val="FirstParagraph"/>
      </w:pPr>
      <w:r>
        <w:t xml:space="preserve">This Invoice covers professional Accountant services rendered to the client for the period of April 2025 through June 2025. All tax filings have been prepared in compliance with the Revenue Code of Thailand and applicable regulations enforced by the Revenue Department offices in Thailand Bangkok. The Accountant confirms that all VAT invoices (Tax Invoice) have been issued in accordance with the Ministerial Regulation on VAT. Should the client require additional services beyond the scope of this Invoice, a supplementary Invoice will be issued separately. The Accountant is available for consultation at the office located in Khlong Toei, Bangkok, or via video conference for clients in other provinces of Thailand.</w:t>
      </w:r>
    </w:p>
    <w:bookmarkEnd w:id="26"/>
    <w:p>
      <w:pPr>
        <w:pStyle w:val="BodyText"/>
      </w:pPr>
      <w:r>
        <w:rPr>
          <w:bCs/>
          <w:b/>
        </w:rPr>
        <w:t xml:space="preserve">Siam Professional Accountant Co., Ltd.</w:t>
      </w:r>
      <w:r>
        <w:t xml:space="preserve"> </w:t>
      </w:r>
      <w:r>
        <w:t xml:space="preserve">| 128/44 Sukhumvit Road, Khlong Toei, Bangkok 10110, Thailand</w:t>
      </w:r>
    </w:p>
    <w:p>
      <w:pPr>
        <w:pStyle w:val="BodyText"/>
      </w:pPr>
      <w:r>
        <w:t xml:space="preserve">Tel: +66-2-254-8831 | Email: billing@siamaccountant.co.th | Website: www.siamaccountant.co.th</w:t>
      </w:r>
    </w:p>
    <w:p>
      <w:pPr>
        <w:pStyle w:val="BodyText"/>
      </w:pPr>
      <w:r>
        <w:t xml:space="preserve">Thank you for your business. This Invoice was generated electronically and is valid without a physical signature per the Electronic Transactions Act B.E. 2544 (2001) of Thailand.</w:t>
      </w:r>
    </w:p>
    <w:p>
      <w:pPr>
        <w:pStyle w:val="BodyText"/>
      </w:pPr>
      <w:r>
        <w:t xml:space="preserve">© 2025 Siam Professional Accountant Co., Ltd. All Rights Reserved. | Invoice INV-2025-BKK-0472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Thailand Bangkok</dc:title>
  <dc:creator/>
  <dc:language>en</dc:language>
  <cp:keywords/>
  <dcterms:created xsi:type="dcterms:W3CDTF">2026-10-10T05:49:47Z</dcterms:created>
  <dcterms:modified xsi:type="dcterms:W3CDTF">2026-10-10T05:49:47Z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