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Accounting</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meridian-accounting-advisory-llp"/>
    <w:p>
      <w:pPr>
        <w:pStyle w:val="Heading1"/>
      </w:pPr>
      <w:r>
        <w:t xml:space="preserve">Meridian Accounting &amp; Advisory LLP</w:t>
      </w:r>
    </w:p>
    <w:p>
      <w:pPr>
        <w:pStyle w:val="FirstParagraph"/>
      </w:pPr>
      <w:r>
        <w:t xml:space="preserve">Professional Accountant Services in Ankara, Turkey</w:t>
      </w:r>
    </w:p>
    <w:p>
      <w:pPr>
        <w:pStyle w:val="BodyText"/>
      </w:pPr>
      <w:r>
        <w:t xml:space="preserve">Address: Kızılay Mahallesi, Atatürk Bulvarı No: 142/7, Çankaya, 06420 Ankara, Türkiye</w:t>
      </w:r>
    </w:p>
    <w:p>
      <w:pPr>
        <w:pStyle w:val="BodyText"/>
      </w:pPr>
      <w:r>
        <w:t xml:space="preserve">Tax Office: Çankaya Vergi Dairesi | Tax ID (VKN): 1234567890</w:t>
      </w:r>
    </w:p>
    <w:p>
      <w:pPr>
        <w:pStyle w:val="BodyText"/>
      </w:pPr>
      <w:r>
        <w:t xml:space="preserve">Phone: +90 (312) 445 67 89 | Email: billing@meridianaccounting.com.tr</w:t>
      </w:r>
    </w:p>
    <w:bookmarkEnd w:id="20"/>
    <w:bookmarkStart w:id="21" w:name="invoice"/>
    <w:p>
      <w:pPr>
        <w:pStyle w:val="Heading2"/>
      </w:pPr>
      <w:r>
        <w:t xml:space="preserve">INVOICE</w:t>
      </w:r>
    </w:p>
    <w:p>
      <w:pPr>
        <w:pStyle w:val="FirstParagraph"/>
      </w:pPr>
      <w:r>
        <w:t xml:space="preserve">Professional Accounting Services</w:t>
      </w:r>
    </w:p>
    <w:p>
      <w:pPr>
        <w:pStyle w:val="BodyText"/>
      </w:pPr>
      <w:r>
        <w:t xml:space="preserve">Invoice No: INV-2025-ANK-00487</w:t>
      </w:r>
    </w:p>
    <w:p>
      <w:pPr>
        <w:pStyle w:val="BodyText"/>
      </w:pPr>
      <w:r>
        <w:t xml:space="preserve">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Ankara Teknoloji A.Ş.</w:t>
      </w:r>
    </w:p>
    <w:p>
      <w:pPr>
        <w:pStyle w:val="BodyText"/>
      </w:pPr>
      <w:r>
        <w:t xml:space="preserve">Atatürk Bulvarı No: 210, Kızılay</w:t>
      </w:r>
    </w:p>
    <w:p>
      <w:pPr>
        <w:pStyle w:val="BodyText"/>
      </w:pPr>
      <w:r>
        <w:t xml:space="preserve">Çankaya, 06420 Ankara, Türkiye</w:t>
      </w:r>
    </w:p>
    <w:p>
      <w:pPr>
        <w:pStyle w:val="BodyText"/>
      </w:pPr>
      <w:r>
        <w:t xml:space="preserve">Tax ID (VKN): 9876543210</w:t>
      </w:r>
    </w:p>
    <w:p>
      <w:pPr>
        <w:pStyle w:val="BodyText"/>
      </w:pPr>
      <w:r>
        <w:t xml:space="preserve">Contact: Mr. Emre Yılmaz, CFO</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2025</w:t>
      </w:r>
    </w:p>
    <w:p>
      <w:pPr>
        <w:pStyle w:val="BodyText"/>
      </w:pPr>
      <w:r>
        <w:rPr>
          <w:bCs/>
          <w:b/>
        </w:rPr>
        <w:t xml:space="preserve">Accountant in Charge:</w:t>
      </w:r>
      <w:r>
        <w:t xml:space="preserve"> </w:t>
      </w:r>
      <w:r>
        <w:t xml:space="preserve">Serhat Kaya, CPA (TÜRMOB)</w:t>
      </w:r>
    </w:p>
    <w:p>
      <w:pPr>
        <w:pStyle w:val="BodyText"/>
      </w:pPr>
      <w:r>
        <w:rPr>
          <w:bCs/>
          <w:b/>
        </w:rPr>
        <w:t xml:space="preserve">Payment Method:</w:t>
      </w:r>
      <w:r>
        <w:t xml:space="preserve"> </w:t>
      </w:r>
      <w:r>
        <w:t xml:space="preserve">Bank Transfer (Havale/EFT)</w:t>
      </w:r>
    </w:p>
    <w:p>
      <w:pPr>
        <w:pStyle w:val="BodyText"/>
      </w:pPr>
      <w:r>
        <w:rPr>
          <w:bCs/>
          <w:b/>
        </w:rPr>
        <w:t xml:space="preserve">Currency:</w:t>
      </w:r>
      <w:r>
        <w:t xml:space="preserve"> </w:t>
      </w:r>
      <w:r>
        <w:t xml:space="preserve">Turkish Lira (TRY / ₺)</w:t>
      </w:r>
    </w:p>
    <w:p>
      <w:pPr>
        <w:pStyle w:val="BodyText"/>
      </w:pPr>
      <w:r>
        <w:rPr>
          <w:bCs/>
          <w:b/>
        </w:rPr>
        <w:t xml:space="preserve">Governing Law:</w:t>
      </w:r>
      <w:r>
        <w:t xml:space="preserve"> </w:t>
      </w:r>
      <w:r>
        <w:t xml:space="preserve">Republic of Turkey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Accounting Service</w:t>
            </w:r>
          </w:p>
        </w:tc>
        <w:tc>
          <w:tcPr/>
          <w:p>
            <w:pPr>
              <w:pStyle w:val="Compact"/>
              <w:jc w:val="left"/>
            </w:pPr>
            <w:r>
              <w:t xml:space="preserve">Hours / Units</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KDV (18%)</w:t>
            </w:r>
          </w:p>
        </w:tc>
      </w:tr>
      <w:tr>
        <w:tc>
          <w:tcPr/>
          <w:p>
            <w:pPr>
              <w:pStyle w:val="Compact"/>
              <w:jc w:val="left"/>
            </w:pPr>
            <w:r>
              <w:t xml:space="preserve">1</w:t>
            </w:r>
          </w:p>
        </w:tc>
        <w:tc>
          <w:tcPr/>
          <w:p>
            <w:pPr>
              <w:pStyle w:val="Compact"/>
              <w:jc w:val="left"/>
            </w:pPr>
            <w:r>
              <w:t xml:space="preserve">Monthly General Ledger Reconciliation and Financial Statement Preparation for Ankara Teknoloji A.Ş. in compliance with Turkish Commercial Code (Türk Ticaret Kanunu) and TMS/IFRS standards</w:t>
            </w:r>
          </w:p>
        </w:tc>
        <w:tc>
          <w:tcPr/>
          <w:p>
            <w:pPr>
              <w:pStyle w:val="Compact"/>
              <w:jc w:val="left"/>
            </w:pPr>
            <w:r>
              <w:t xml:space="preserve">24 hrs</w:t>
            </w:r>
          </w:p>
        </w:tc>
        <w:tc>
          <w:tcPr/>
          <w:p>
            <w:pPr>
              <w:pStyle w:val="Compact"/>
              <w:jc w:val="left"/>
            </w:pPr>
            <w:r>
              <w:t xml:space="preserve">₺ 850.00</w:t>
            </w:r>
          </w:p>
        </w:tc>
        <w:tc>
          <w:tcPr/>
          <w:p>
            <w:pPr>
              <w:pStyle w:val="Compact"/>
              <w:jc w:val="left"/>
            </w:pPr>
            <w:r>
              <w:t xml:space="preserve">₺ 20,400.00</w:t>
            </w:r>
          </w:p>
        </w:tc>
        <w:tc>
          <w:tcPr/>
          <w:p>
            <w:pPr>
              <w:pStyle w:val="Compact"/>
              <w:jc w:val="left"/>
            </w:pPr>
            <w:r>
              <w:t xml:space="preserve">₺ 3,672.00</w:t>
            </w:r>
          </w:p>
        </w:tc>
      </w:tr>
      <w:tr>
        <w:tc>
          <w:tcPr/>
          <w:p>
            <w:pPr>
              <w:pStyle w:val="Compact"/>
              <w:jc w:val="left"/>
            </w:pPr>
            <w:r>
              <w:t xml:space="preserve">2</w:t>
            </w:r>
          </w:p>
        </w:tc>
        <w:tc>
          <w:tcPr/>
          <w:p>
            <w:pPr>
              <w:pStyle w:val="Compact"/>
              <w:jc w:val="left"/>
            </w:pPr>
            <w:r>
              <w:t xml:space="preserve">Preparation and Filing of Monthly VAT (KDV) Returns with Çankaya Tax Office, Ankara, including e-Fatura and e-Defter submissions via GİB (Revenue Administration) portal</w:t>
            </w:r>
          </w:p>
        </w:tc>
        <w:tc>
          <w:tcPr/>
          <w:p>
            <w:pPr>
              <w:pStyle w:val="Compact"/>
              <w:jc w:val="left"/>
            </w:pPr>
            <w:r>
              <w:t xml:space="preserve">8 hrs</w:t>
            </w:r>
          </w:p>
        </w:tc>
        <w:tc>
          <w:tcPr/>
          <w:p>
            <w:pPr>
              <w:pStyle w:val="Compact"/>
              <w:jc w:val="left"/>
            </w:pPr>
            <w:r>
              <w:t xml:space="preserve">₺ 850.00</w:t>
            </w:r>
          </w:p>
        </w:tc>
        <w:tc>
          <w:tcPr/>
          <w:p>
            <w:pPr>
              <w:pStyle w:val="Compact"/>
              <w:jc w:val="left"/>
            </w:pPr>
            <w:r>
              <w:t xml:space="preserve">₺ 6,800.00</w:t>
            </w:r>
          </w:p>
        </w:tc>
        <w:tc>
          <w:tcPr/>
          <w:p>
            <w:pPr>
              <w:pStyle w:val="Compact"/>
              <w:jc w:val="left"/>
            </w:pPr>
            <w:r>
              <w:t xml:space="preserve">₺ 1,224.00</w:t>
            </w:r>
          </w:p>
        </w:tc>
      </w:tr>
      <w:tr>
        <w:tc>
          <w:tcPr/>
          <w:p>
            <w:pPr>
              <w:pStyle w:val="Compact"/>
              <w:jc w:val="left"/>
            </w:pPr>
            <w:r>
              <w:t xml:space="preserve">3</w:t>
            </w:r>
          </w:p>
        </w:tc>
        <w:tc>
          <w:tcPr/>
          <w:p>
            <w:pPr>
              <w:pStyle w:val="Compact"/>
              <w:jc w:val="left"/>
            </w:pPr>
            <w:r>
              <w:t xml:space="preserve">Payroll Accounting and Social Security (SGK) Declarations for 45 employees, including GİS (General Insurance Premium) calculations and monthly reporting to the Ankara Social Security Center</w:t>
            </w:r>
          </w:p>
        </w:tc>
        <w:tc>
          <w:tcPr/>
          <w:p>
            <w:pPr>
              <w:pStyle w:val="Compact"/>
              <w:jc w:val="left"/>
            </w:pPr>
            <w:r>
              <w:t xml:space="preserve">16 hrs</w:t>
            </w:r>
          </w:p>
        </w:tc>
        <w:tc>
          <w:tcPr/>
          <w:p>
            <w:pPr>
              <w:pStyle w:val="Compact"/>
              <w:jc w:val="left"/>
            </w:pPr>
            <w:r>
              <w:t xml:space="preserve">₺ 850.00</w:t>
            </w:r>
          </w:p>
        </w:tc>
        <w:tc>
          <w:tcPr/>
          <w:p>
            <w:pPr>
              <w:pStyle w:val="Compact"/>
              <w:jc w:val="left"/>
            </w:pPr>
            <w:r>
              <w:t xml:space="preserve">₺ 13,600.00</w:t>
            </w:r>
          </w:p>
        </w:tc>
        <w:tc>
          <w:tcPr/>
          <w:p>
            <w:pPr>
              <w:pStyle w:val="Compact"/>
              <w:jc w:val="left"/>
            </w:pPr>
            <w:r>
              <w:t xml:space="preserve">₺ 2,448.00</w:t>
            </w:r>
          </w:p>
        </w:tc>
      </w:tr>
      <w:tr>
        <w:tc>
          <w:tcPr/>
          <w:p>
            <w:pPr>
              <w:pStyle w:val="Compact"/>
              <w:jc w:val="left"/>
            </w:pPr>
            <w:r>
              <w:t xml:space="preserve">4</w:t>
            </w:r>
          </w:p>
        </w:tc>
        <w:tc>
          <w:tcPr/>
          <w:p>
            <w:pPr>
              <w:pStyle w:val="Compact"/>
              <w:jc w:val="left"/>
            </w:pPr>
            <w:r>
              <w:t xml:space="preserve">Corporate Income Tax (Kurumlar Vergisi) Pre-Computation and Advisory for the 2025 fiscal year, including transfer pricing documentation review under Turkish Tax Procedure Law (VUK)</w:t>
            </w:r>
          </w:p>
        </w:tc>
        <w:tc>
          <w:tcPr/>
          <w:p>
            <w:pPr>
              <w:pStyle w:val="Compact"/>
              <w:jc w:val="left"/>
            </w:pPr>
            <w:r>
              <w:t xml:space="preserve">12 hrs</w:t>
            </w:r>
          </w:p>
        </w:tc>
        <w:tc>
          <w:tcPr/>
          <w:p>
            <w:pPr>
              <w:pStyle w:val="Compact"/>
              <w:jc w:val="left"/>
            </w:pPr>
            <w:r>
              <w:t xml:space="preserve">₺ 1,100.00</w:t>
            </w:r>
          </w:p>
        </w:tc>
        <w:tc>
          <w:tcPr/>
          <w:p>
            <w:pPr>
              <w:pStyle w:val="Compact"/>
              <w:jc w:val="left"/>
            </w:pPr>
            <w:r>
              <w:t xml:space="preserve">₺ 13,200.00</w:t>
            </w:r>
          </w:p>
        </w:tc>
        <w:tc>
          <w:tcPr/>
          <w:p>
            <w:pPr>
              <w:pStyle w:val="Compact"/>
              <w:jc w:val="left"/>
            </w:pPr>
            <w:r>
              <w:t xml:space="preserve">₺ 2,376.00</w:t>
            </w:r>
          </w:p>
        </w:tc>
      </w:tr>
      <w:tr>
        <w:tc>
          <w:tcPr/>
          <w:p>
            <w:pPr>
              <w:pStyle w:val="Compact"/>
              <w:jc w:val="left"/>
            </w:pPr>
            <w:r>
              <w:t xml:space="preserve">5</w:t>
            </w:r>
          </w:p>
        </w:tc>
        <w:tc>
          <w:tcPr/>
          <w:p>
            <w:pPr>
              <w:pStyle w:val="Compact"/>
              <w:jc w:val="left"/>
            </w:pPr>
            <w:r>
              <w:t xml:space="preserve">Bank Reconciliation, Fixed Asset Register Maintenance, and Intercompany Transaction Review for Ankara-based subsidiaries</w:t>
            </w:r>
          </w:p>
        </w:tc>
        <w:tc>
          <w:tcPr/>
          <w:p>
            <w:pPr>
              <w:pStyle w:val="Compact"/>
              <w:jc w:val="left"/>
            </w:pPr>
            <w:r>
              <w:t xml:space="preserve">10 hrs</w:t>
            </w:r>
          </w:p>
        </w:tc>
        <w:tc>
          <w:tcPr/>
          <w:p>
            <w:pPr>
              <w:pStyle w:val="Compact"/>
              <w:jc w:val="left"/>
            </w:pPr>
            <w:r>
              <w:t xml:space="preserve">₺ 850.00</w:t>
            </w:r>
          </w:p>
        </w:tc>
        <w:tc>
          <w:tcPr/>
          <w:p>
            <w:pPr>
              <w:pStyle w:val="Compact"/>
              <w:jc w:val="left"/>
            </w:pPr>
            <w:r>
              <w:t xml:space="preserve">₺ 8,500.00</w:t>
            </w:r>
          </w:p>
        </w:tc>
        <w:tc>
          <w:tcPr/>
          <w:p>
            <w:pPr>
              <w:pStyle w:val="Compact"/>
              <w:jc w:val="left"/>
            </w:pPr>
            <w:r>
              <w:t xml:space="preserve">₺ 1,530.00</w:t>
            </w:r>
          </w:p>
        </w:tc>
      </w:tr>
      <w:tr>
        <w:tc>
          <w:tcPr/>
          <w:p>
            <w:pPr>
              <w:pStyle w:val="Compact"/>
              <w:jc w:val="left"/>
            </w:pPr>
            <w:r>
              <w:t xml:space="preserve">6</w:t>
            </w:r>
          </w:p>
        </w:tc>
        <w:tc>
          <w:tcPr/>
          <w:p>
            <w:pPr>
              <w:pStyle w:val="Compact"/>
              <w:jc w:val="left"/>
            </w:pPr>
            <w:r>
              <w:t xml:space="preserve">Advisory Consultation on New Ankara Municipal Zoning Regulations Impact on Depreciation Schedules and Real Estate Accounting Treatment</w:t>
            </w:r>
          </w:p>
        </w:tc>
        <w:tc>
          <w:tcPr/>
          <w:p>
            <w:pPr>
              <w:pStyle w:val="Compact"/>
              <w:jc w:val="left"/>
            </w:pPr>
            <w:r>
              <w:t xml:space="preserve">4 hrs</w:t>
            </w:r>
          </w:p>
        </w:tc>
        <w:tc>
          <w:tcPr/>
          <w:p>
            <w:pPr>
              <w:pStyle w:val="Compact"/>
              <w:jc w:val="left"/>
            </w:pPr>
            <w:r>
              <w:t xml:space="preserve">₺ 1,200.00</w:t>
            </w:r>
          </w:p>
        </w:tc>
        <w:tc>
          <w:tcPr/>
          <w:p>
            <w:pPr>
              <w:pStyle w:val="Compact"/>
              <w:jc w:val="left"/>
            </w:pPr>
            <w:r>
              <w:t xml:space="preserve">₺ 4,800.00</w:t>
            </w:r>
          </w:p>
        </w:tc>
        <w:tc>
          <w:tcPr/>
          <w:p>
            <w:pPr>
              <w:pStyle w:val="Compact"/>
              <w:jc w:val="left"/>
            </w:pPr>
            <w:r>
              <w:t xml:space="preserve">₺ 864.00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 67,300.00</w:t>
            </w:r>
          </w:p>
        </w:tc>
      </w:tr>
      <w:tr>
        <w:tc>
          <w:tcPr/>
          <w:p>
            <w:pPr>
              <w:pStyle w:val="Compact"/>
              <w:jc w:val="left"/>
            </w:pPr>
            <w:r>
              <w:t xml:space="preserve">KDV (Value Added Tax – 18%)</w:t>
            </w:r>
          </w:p>
        </w:tc>
        <w:tc>
          <w:tcPr/>
          <w:p>
            <w:pPr>
              <w:pStyle w:val="Compact"/>
              <w:jc w:val="left"/>
            </w:pPr>
            <w:r>
              <w:t xml:space="preserve">₺ 12,114.00</w:t>
            </w:r>
          </w:p>
        </w:tc>
      </w:tr>
      <w:tr>
        <w:tc>
          <w:tcPr/>
          <w:p>
            <w:pPr>
              <w:pStyle w:val="Compact"/>
              <w:jc w:val="left"/>
            </w:pPr>
            <w:r>
              <w:t xml:space="preserve">Withholding Tax (Stopaj – 20%)</w:t>
            </w:r>
          </w:p>
        </w:tc>
        <w:tc>
          <w:tcPr/>
          <w:p>
            <w:pPr>
              <w:pStyle w:val="Compact"/>
              <w:jc w:val="left"/>
            </w:pPr>
            <w:r>
              <w:t xml:space="preserve">₺ 13,460.00</w:t>
            </w:r>
          </w:p>
        </w:tc>
      </w:tr>
      <w:tr>
        <w:tc>
          <w:tcPr/>
          <w:p>
            <w:pPr>
              <w:pStyle w:val="Compact"/>
              <w:jc w:val="left"/>
            </w:pPr>
            <w:r>
              <w:t xml:space="preserve">GRAND TOTAL (Gross)</w:t>
            </w:r>
          </w:p>
        </w:tc>
        <w:tc>
          <w:tcPr/>
          <w:p>
            <w:pPr>
              <w:pStyle w:val="Compact"/>
              <w:jc w:val="left"/>
            </w:pPr>
            <w:r>
              <w:t xml:space="preserve">₺ 65,954.00</w:t>
            </w:r>
          </w:p>
        </w:tc>
      </w:tr>
    </w:tbl>
    <w:p>
      <w:pPr>
        <w:pStyle w:val="BodyText"/>
      </w:pPr>
      <w:r>
        <w:rPr>
          <w:bCs/>
          <w:b/>
        </w:rPr>
        <w:t xml:space="preserve">Bank Transfer Details (Havale / EFT):</w:t>
      </w:r>
      <w:r>
        <w:br/>
      </w:r>
      <w:r>
        <w:t xml:space="preserve">Bank: Ziraat Bankası A.Ş. – Kızılay Branch, Ankara</w:t>
      </w:r>
      <w:r>
        <w:br/>
      </w:r>
      <w:r>
        <w:t xml:space="preserve">Account Name: Meridian Accounting &amp; Advisory LLP</w:t>
      </w:r>
      <w:r>
        <w:br/>
      </w:r>
      <w:r>
        <w:t xml:space="preserve">IBAN: TR33 0001 0002 3456 7890 1234 56</w:t>
      </w:r>
      <w:r>
        <w:br/>
      </w:r>
      <w:r>
        <w:t xml:space="preserve">SWIFT/BIC: TCZBTR2A</w:t>
      </w:r>
      <w:r>
        <w:br/>
      </w:r>
      <w:r>
        <w:rPr>
          <w:iCs/>
          <w:i/>
        </w:rPr>
        <w:t xml:space="preserve">Please reference Invoice No: INV-2025-ANK-00487 in your transfer memo.</w:t>
      </w:r>
    </w:p>
    <w:bookmarkStart w:id="24" w:name="terms-conditions-important-notes"/>
    <w:p>
      <w:pPr>
        <w:pStyle w:val="Heading3"/>
      </w:pPr>
      <w:r>
        <w:t xml:space="preserve">Terms, Conditions &amp; Important Notes</w:t>
      </w:r>
    </w:p>
    <w:p>
      <w:pPr>
        <w:numPr>
          <w:ilvl w:val="0"/>
          <w:numId w:val="1001"/>
        </w:numPr>
        <w:pStyle w:val="Compact"/>
      </w:pPr>
      <w:r>
        <w:t xml:space="preserve">This invoice is issued in accordance with the Turkish Accounting Standards (TMS) and the regulations of the Turkish Chamber of Certified Public Accountants (TÜRMOB) for professional accountant services rendered in Ankara, Turkey.</w:t>
      </w:r>
    </w:p>
    <w:p>
      <w:pPr>
        <w:numPr>
          <w:ilvl w:val="0"/>
          <w:numId w:val="1001"/>
        </w:numPr>
        <w:pStyle w:val="Compact"/>
      </w:pPr>
      <w:r>
        <w:t xml:space="preserve">Payment is due within fifteen (15) calendar days from the invoice date. Late payments shall be subject to statutory interest as defined under Article 30 of the Turkish Code of Obligations (Türk Borçlar Kanunu).</w:t>
      </w:r>
    </w:p>
    <w:p>
      <w:pPr>
        <w:numPr>
          <w:ilvl w:val="0"/>
          <w:numId w:val="1001"/>
        </w:numPr>
        <w:pStyle w:val="Compact"/>
      </w:pPr>
      <w:r>
        <w:t xml:space="preserve">All accounting services described herein have been performed by a licensed Certified Public Accountant (Serbest Muhasebeci Mali Müşavir – SMMM) registered with the Ankara Chamber of Certified Public Accountants.</w:t>
      </w:r>
    </w:p>
    <w:p>
      <w:pPr>
        <w:numPr>
          <w:ilvl w:val="0"/>
          <w:numId w:val="1001"/>
        </w:numPr>
        <w:pStyle w:val="Compact"/>
      </w:pPr>
      <w:r>
        <w:t xml:space="preserve">The KDV (Value Added Tax) rate of 18% is applied as per the current Turkish VAT Law (KDV Kanunu No. 3065). The withholding tax (stopaj) of 20% has been deducted and will be remitted to the Çankaya Tax Office on behalf of the client.</w:t>
      </w:r>
    </w:p>
    <w:p>
      <w:pPr>
        <w:numPr>
          <w:ilvl w:val="0"/>
          <w:numId w:val="1001"/>
        </w:numPr>
        <w:pStyle w:val="Compact"/>
      </w:pPr>
      <w:r>
        <w:t xml:space="preserve">This invoice constitutes a valid fiscal document (fatura) under the Turkish Tax Procedure Law (Vergi Usul Kanunu No. 213). A duplicate copy may be requested from our Ankara office within thirty (30) days.</w:t>
      </w:r>
    </w:p>
    <w:p>
      <w:pPr>
        <w:numPr>
          <w:ilvl w:val="0"/>
          <w:numId w:val="1001"/>
        </w:numPr>
        <w:pStyle w:val="Compact"/>
      </w:pPr>
      <w:r>
        <w:t xml:space="preserve">All financial records, ledgers, and supporting documentation prepared under this engagement are subject to the statutory retention period of ten (10) years as mandated by Turkish law.</w:t>
      </w:r>
    </w:p>
    <w:p>
      <w:pPr>
        <w:numPr>
          <w:ilvl w:val="0"/>
          <w:numId w:val="1001"/>
        </w:numPr>
        <w:pStyle w:val="Compact"/>
      </w:pPr>
      <w:r>
        <w:t xml:space="preserve">Any disputes arising from this invoice or the associated accounting services shall be subject to the jurisdiction of the Ankara Commercial Courts (Ankara Ticaret Mahkemeleri).</w:t>
      </w:r>
    </w:p>
    <w:p>
      <w:pPr>
        <w:numPr>
          <w:ilvl w:val="0"/>
          <w:numId w:val="1001"/>
        </w:numPr>
        <w:pStyle w:val="Compact"/>
      </w:pPr>
      <w:r>
        <w:t xml:space="preserve">This invoice is valid only for the service period specified above. Additional services rendered outside this scope will be invoiced separately.</w:t>
      </w:r>
    </w:p>
    <w:bookmarkEnd w:id="24"/>
    <w:p>
      <w:pPr>
        <w:pStyle w:val="FirstParagraph"/>
      </w:pPr>
      <w:r>
        <w:t xml:space="preserve">Official Stamp &amp; Signature of the Accountant</w:t>
      </w:r>
    </w:p>
    <w:p>
      <w:pPr>
        <w:pStyle w:val="BodyText"/>
      </w:pPr>
      <w:r>
        <w:t xml:space="preserve">Serhat Kaya – SMMM (Certified Public Accountant)</w:t>
      </w:r>
    </w:p>
    <w:p>
      <w:pPr>
        <w:pStyle w:val="BodyText"/>
      </w:pPr>
      <w:r>
        <w:t xml:space="preserve">TÜRMOB Registration No: ANK-2019-04521</w:t>
      </w:r>
    </w:p>
    <w:p>
      <w:pPr>
        <w:pStyle w:val="BodyText"/>
      </w:pPr>
      <w:r>
        <w:t xml:space="preserve">Meridian Accounting &amp; Advisory LLP – Ankara, Türkiye</w:t>
      </w:r>
    </w:p>
    <w:p>
      <w:pPr>
        <w:pStyle w:val="BodyText"/>
      </w:pPr>
      <w:r>
        <w:t xml:space="preserve">Meridian Accounting &amp; Advisory LLP | Kızılay Mahallesi, Atatürk Bulvarı No: 142/7, Çankaya, 06420 Ankara, Türkiye</w:t>
      </w:r>
    </w:p>
    <w:p>
      <w:pPr>
        <w:pStyle w:val="BodyText"/>
      </w:pPr>
      <w:r>
        <w:t xml:space="preserve">Tel: +90 (312) 445 67 89 | Fax: +90 (312) 445 67 90 | Web: www.meridianaccounting.com.tr</w:t>
      </w:r>
    </w:p>
    <w:p>
      <w:pPr>
        <w:pStyle w:val="BodyText"/>
      </w:pPr>
      <w:r>
        <w:t xml:space="preserve">This invoice was generated electronically and is valid without a physical stamp per GİB e-Invoice regulations effective 2025.</w:t>
      </w:r>
    </w:p>
    <w:p>
      <w:pPr>
        <w:pStyle w:val="BodyText"/>
      </w:pPr>
      <w:r>
        <w:t xml:space="preserve">© 2025 Meridian Accounting &amp; Advisory LLP. All rights reserved. Ankara, Türkiye.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Accounting Services - Ankara, Turkey</dc:title>
  <dc:creator/>
  <dc:language>en</dc:language>
  <cp:keywords/>
  <dcterms:created xsi:type="dcterms:W3CDTF">2026-10-10T06:41:03Z</dcterms:created>
  <dcterms:modified xsi:type="dcterms:W3CDTF">2026-10-10T06:41:03Z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