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invoice"/>
    <w:p>
      <w:pPr>
        <w:pStyle w:val="Heading1"/>
      </w:pPr>
      <w:r>
        <w:t xml:space="preserve">INVOICE</w:t>
      </w:r>
    </w:p>
    <w:p>
      <w:pPr>
        <w:pStyle w:val="FirstParagraph"/>
      </w:pPr>
      <w:r>
        <w:t xml:space="preserve">Professional Accountant Services — Turkey Istanbul</w:t>
      </w:r>
    </w:p>
    <w:p>
      <w:pPr>
        <w:pStyle w:val="BodyText"/>
      </w:pPr>
      <w:r>
        <w:t xml:space="preserve">PAID</w:t>
      </w:r>
    </w:p>
    <w:bookmarkEnd w:id="20"/>
    <w:bookmarkStart w:id="21" w:name="istanbul-financial-accounting-ltd."/>
    <w:p>
      <w:pPr>
        <w:pStyle w:val="Heading3"/>
      </w:pPr>
      <w:r>
        <w:t xml:space="preserve">Istanbul Financial Accounting Ltd.</w:t>
      </w:r>
    </w:p>
    <w:p>
      <w:pPr>
        <w:pStyle w:val="FirstParagraph"/>
      </w:pPr>
      <w:r>
        <w:t xml:space="preserve">Address: Büyükdere Caddesi No: 142, 34450</w:t>
      </w:r>
    </w:p>
    <w:p>
      <w:pPr>
        <w:pStyle w:val="BodyText"/>
      </w:pPr>
      <w:r>
        <w:t xml:space="preserve">Şişli, Istanbul, Turkey</w:t>
      </w:r>
    </w:p>
    <w:p>
      <w:pPr>
        <w:pStyle w:val="BodyText"/>
      </w:pPr>
      <w:r>
        <w:t xml:space="preserve">Tax ID (VKN): 1234567890</w:t>
      </w:r>
    </w:p>
    <w:p>
      <w:pPr>
        <w:pStyle w:val="BodyText"/>
      </w:pPr>
      <w:r>
        <w:t xml:space="preserve">Phone: +90 212 555 0142</w:t>
      </w:r>
    </w:p>
    <w:p>
      <w:pPr>
        <w:pStyle w:val="BodyText"/>
      </w:pPr>
      <w:r>
        <w:t xml:space="preserve">Email: billing@istanbulaccountant.com.tr</w:t>
      </w:r>
    </w:p>
    <w:bookmarkEnd w:id="21"/>
    <w:bookmarkStart w:id="22" w:name="invoice-details"/>
    <w:p>
      <w:pPr>
        <w:pStyle w:val="Heading4"/>
      </w:pPr>
      <w:r>
        <w:t xml:space="preserve">Invoice Details</w:t>
      </w:r>
    </w:p>
    <w:p>
      <w:pPr>
        <w:pStyle w:val="FirstParagraph"/>
      </w:pPr>
      <w:r>
        <w:rPr>
          <w:bCs/>
          <w:b/>
        </w:rPr>
        <w:t xml:space="preserve">Invoice Number:</w:t>
      </w:r>
      <w:r>
        <w:t xml:space="preserve"> </w:t>
      </w:r>
      <w:r>
        <w:t xml:space="preserve">INV-2025-IST-00472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Currency:</w:t>
      </w:r>
      <w:r>
        <w:t xml:space="preserve"> </w:t>
      </w:r>
      <w:r>
        <w:t xml:space="preserve">Turkish Lira (TRY)</w:t>
      </w:r>
    </w:p>
    <w:bookmarkEnd w:id="22"/>
    <w:bookmarkStart w:id="23" w:name="billed-to-client"/>
    <w:p>
      <w:pPr>
        <w:pStyle w:val="Heading4"/>
      </w:pPr>
      <w:r>
        <w:t xml:space="preserve">Billed To (Client)</w:t>
      </w:r>
    </w:p>
    <w:p>
      <w:pPr>
        <w:pStyle w:val="FirstParagraph"/>
      </w:pPr>
      <w:r>
        <w:rPr>
          <w:bCs/>
          <w:b/>
        </w:rPr>
        <w:t xml:space="preserve">Company:</w:t>
      </w:r>
      <w:r>
        <w:t xml:space="preserve"> </w:t>
      </w:r>
      <w:r>
        <w:t xml:space="preserve">Marmara Trading &amp; Logistics A.Ş.</w:t>
      </w:r>
    </w:p>
    <w:p>
      <w:pPr>
        <w:pStyle w:val="BodyText"/>
      </w:pPr>
      <w:r>
        <w:rPr>
          <w:bCs/>
          <w:b/>
        </w:rPr>
        <w:t xml:space="preserve">Contact:</w:t>
      </w:r>
      <w:r>
        <w:t xml:space="preserve"> </w:t>
      </w:r>
      <w:r>
        <w:t xml:space="preserve">Mr. Ahmet Yılmaz</w:t>
      </w:r>
    </w:p>
    <w:p>
      <w:pPr>
        <w:pStyle w:val="BodyText"/>
      </w:pPr>
      <w:r>
        <w:rPr>
          <w:bCs/>
          <w:b/>
        </w:rPr>
        <w:t xml:space="preserve">Address:</w:t>
      </w:r>
      <w:r>
        <w:t xml:space="preserve"> </w:t>
      </w:r>
      <w:r>
        <w:t xml:space="preserve">E-5 Karayolu, Küçükyalı, 34850</w:t>
      </w:r>
    </w:p>
    <w:p>
      <w:pPr>
        <w:pStyle w:val="BodyText"/>
      </w:pPr>
      <w:r>
        <w:t xml:space="preserve">Kadıköy, Istanbul, Turkey</w:t>
      </w:r>
    </w:p>
    <w:p>
      <w:pPr>
        <w:pStyle w:val="BodyText"/>
      </w:pPr>
      <w:r>
        <w:rPr>
          <w:bCs/>
          <w:b/>
        </w:rPr>
        <w:t xml:space="preserve">Tax ID (VKN):</w:t>
      </w:r>
      <w:r>
        <w:t xml:space="preserve"> </w:t>
      </w:r>
      <w:r>
        <w:t xml:space="preserve">9876543210</w:t>
      </w:r>
    </w:p>
    <w:bookmarkEnd w:id="23"/>
    <w:bookmarkStart w:id="24" w:name="service-provider"/>
    <w:p>
      <w:pPr>
        <w:pStyle w:val="Heading4"/>
      </w:pPr>
      <w:r>
        <w:t xml:space="preserve">Service Provider</w:t>
      </w:r>
    </w:p>
    <w:p>
      <w:pPr>
        <w:pStyle w:val="FirstParagraph"/>
      </w:pPr>
      <w:r>
        <w:rPr>
          <w:bCs/>
          <w:b/>
        </w:rPr>
        <w:t xml:space="preserve">Lead Accountant:</w:t>
      </w:r>
      <w:r>
        <w:t xml:space="preserve"> </w:t>
      </w:r>
      <w:r>
        <w:t xml:space="preserve">Elif Kaya, CPA</w:t>
      </w:r>
    </w:p>
    <w:p>
      <w:pPr>
        <w:pStyle w:val="BodyText"/>
      </w:pPr>
      <w:r>
        <w:rPr>
          <w:bCs/>
          <w:b/>
        </w:rPr>
        <w:t xml:space="preserve">License No:</w:t>
      </w:r>
      <w:r>
        <w:t xml:space="preserve"> </w:t>
      </w:r>
      <w:r>
        <w:t xml:space="preserve">TÜRMOB-4521</w:t>
      </w:r>
    </w:p>
    <w:p>
      <w:pPr>
        <w:pStyle w:val="BodyText"/>
      </w:pPr>
      <w:r>
        <w:rPr>
          <w:bCs/>
          <w:b/>
        </w:rPr>
        <w:t xml:space="preserve">Specialization:</w:t>
      </w:r>
      <w:r>
        <w:t xml:space="preserve"> </w:t>
      </w:r>
      <w:r>
        <w:t xml:space="preserve">Corporate Tax &amp; Audit</w:t>
      </w:r>
    </w:p>
    <w:p>
      <w:pPr>
        <w:pStyle w:val="BodyText"/>
      </w:pPr>
      <w:r>
        <w:rPr>
          <w:bCs/>
          <w:b/>
        </w:rPr>
        <w:t xml:space="preserve">Location:</w:t>
      </w:r>
      <w:r>
        <w:t xml:space="preserve"> </w:t>
      </w:r>
      <w:r>
        <w:t xml:space="preserve">Istanbul, Turkey</w:t>
      </w:r>
    </w:p>
    <w:bookmarkEnd w:id="24"/>
    <w:bookmarkStart w:id="26" w:name="X0bda37219dab9908a5786306996d1b1cd4c62c2"/>
    <w:p>
      <w:pPr>
        <w:pStyle w:val="Heading2"/>
      </w:pPr>
      <w:r>
        <w:t xml:space="preserve">Description of Accountant Services Rendered</w:t>
      </w:r>
    </w:p>
    <w:p>
      <w:pPr>
        <w:pStyle w:val="FirstParagraph"/>
      </w:pPr>
      <w:r>
        <w:t xml:space="preserve">This Invoice documents the professional accountant services provided by Istanbul Financial Accounting Ltd. to Marmara Trading &amp; Logistics A.Ş. for the fiscal period of April 2025 through June 2025. All services were performed in compliance with the Turkish Commercial Code, the Turkish Tax Procedure Law (Vergi Usul Kanunu), and the regulations set forth by the Turkish Ministry of Finance. The Accountant assigned to this engagement operated from our principal office in Turkey Istanbul and adhered to all applicable professional standards established by the Turkish Institute of Certified Public Accountants (TÜRMOB).</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(TRY)</w:t>
            </w:r>
          </w:p>
        </w:tc>
        <w:tc>
          <w:tcPr/>
          <w:p>
            <w:pPr>
              <w:pStyle w:val="Compact"/>
              <w:jc w:val="left"/>
            </w:pPr>
            <w:r>
              <w:t xml:space="preserve">Amount (TRY)</w:t>
            </w:r>
          </w:p>
        </w:tc>
      </w:tr>
      <w:tr>
        <w:tc>
          <w:tcPr/>
          <w:p>
            <w:pPr>
              <w:pStyle w:val="Compact"/>
              <w:jc w:val="left"/>
            </w:pPr>
            <w:r>
              <w:t xml:space="preserve">1</w:t>
            </w:r>
          </w:p>
        </w:tc>
        <w:tc>
          <w:tcPr/>
          <w:p>
            <w:pPr>
              <w:pStyle w:val="Compact"/>
              <w:jc w:val="left"/>
            </w:pPr>
            <w:r>
              <w:t xml:space="preserve">Monthly bookkeeping and general ledger maintenance for corporate accounts, including journal entries, reconciliations, and financial statement preparation in accordance with Turkish GAAP standards.</w:t>
            </w:r>
          </w:p>
        </w:tc>
        <w:tc>
          <w:tcPr/>
          <w:p>
            <w:pPr>
              <w:pStyle w:val="Compact"/>
              <w:jc w:val="left"/>
            </w:pPr>
            <w:r>
              <w:t xml:space="preserve">Apr – Jun 2025</w:t>
            </w:r>
          </w:p>
        </w:tc>
        <w:tc>
          <w:tcPr/>
          <w:p>
            <w:pPr>
              <w:pStyle w:val="Compact"/>
              <w:jc w:val="left"/>
            </w:pPr>
            <w:r>
              <w:t xml:space="preserve">48</w:t>
            </w:r>
          </w:p>
        </w:tc>
        <w:tc>
          <w:tcPr/>
          <w:p>
            <w:pPr>
              <w:pStyle w:val="Compact"/>
              <w:jc w:val="left"/>
            </w:pPr>
            <w:r>
              <w:t xml:space="preserve">1,200.00</w:t>
            </w:r>
          </w:p>
        </w:tc>
        <w:tc>
          <w:tcPr/>
          <w:p>
            <w:pPr>
              <w:pStyle w:val="Compact"/>
              <w:jc w:val="left"/>
            </w:pPr>
            <w:r>
              <w:t xml:space="preserve">57,600.00</w:t>
            </w:r>
          </w:p>
        </w:tc>
      </w:tr>
      <w:tr>
        <w:tc>
          <w:tcPr/>
          <w:p>
            <w:pPr>
              <w:pStyle w:val="Compact"/>
              <w:jc w:val="left"/>
            </w:pPr>
            <w:r>
              <w:t xml:space="preserve">2</w:t>
            </w:r>
          </w:p>
        </w:tc>
        <w:tc>
          <w:tcPr/>
          <w:p>
            <w:pPr>
              <w:pStyle w:val="Compact"/>
              <w:jc w:val="left"/>
            </w:pPr>
            <w:r>
              <w:t xml:space="preserve">Preparation and filing of quarterly VAT (KDV) returns and monthly income tax (Gelir Vergisi) declarations with the Istanbul Regional Tax Office (İstanbul Vergi Dairesi Başkanlığı).</w:t>
            </w:r>
          </w:p>
        </w:tc>
        <w:tc>
          <w:tcPr/>
          <w:p>
            <w:pPr>
              <w:pStyle w:val="Compact"/>
              <w:jc w:val="left"/>
            </w:pPr>
            <w:r>
              <w:t xml:space="preserve">Apr – Jun 2025</w:t>
            </w:r>
          </w:p>
        </w:tc>
        <w:tc>
          <w:tcPr/>
          <w:p>
            <w:pPr>
              <w:pStyle w:val="Compact"/>
              <w:jc w:val="left"/>
            </w:pPr>
            <w:r>
              <w:t xml:space="preserve">24</w:t>
            </w:r>
          </w:p>
        </w:tc>
        <w:tc>
          <w:tcPr/>
          <w:p>
            <w:pPr>
              <w:pStyle w:val="Compact"/>
              <w:jc w:val="left"/>
            </w:pPr>
            <w:r>
              <w:t xml:space="preserve">1,500.00</w:t>
            </w:r>
          </w:p>
        </w:tc>
        <w:tc>
          <w:tcPr/>
          <w:p>
            <w:pPr>
              <w:pStyle w:val="Compact"/>
              <w:jc w:val="left"/>
            </w:pPr>
            <w:r>
              <w:t xml:space="preserve">36,000.00</w:t>
            </w:r>
          </w:p>
        </w:tc>
      </w:tr>
      <w:tr>
        <w:tc>
          <w:tcPr/>
          <w:p>
            <w:pPr>
              <w:pStyle w:val="Compact"/>
              <w:jc w:val="left"/>
            </w:pPr>
            <w:r>
              <w:t xml:space="preserve">3</w:t>
            </w:r>
          </w:p>
        </w:tc>
        <w:tc>
          <w:tcPr/>
          <w:p>
            <w:pPr>
              <w:pStyle w:val="Compact"/>
              <w:jc w:val="left"/>
            </w:pPr>
            <w:r>
              <w:t xml:space="preserve">Payroll accounting and social security (SGK) reporting for 35 employees, including wage calculations, employer contributions, and annual wage tax (Ücret Vergisi) reconciliation.</w:t>
            </w:r>
          </w:p>
        </w:tc>
        <w:tc>
          <w:tcPr/>
          <w:p>
            <w:pPr>
              <w:pStyle w:val="Compact"/>
              <w:jc w:val="left"/>
            </w:pPr>
            <w:r>
              <w:t xml:space="preserve">Apr – Jun 2025</w:t>
            </w:r>
          </w:p>
        </w:tc>
        <w:tc>
          <w:tcPr/>
          <w:p>
            <w:pPr>
              <w:pStyle w:val="Compact"/>
              <w:jc w:val="left"/>
            </w:pPr>
            <w:r>
              <w:t xml:space="preserve">36</w:t>
            </w:r>
          </w:p>
        </w:tc>
        <w:tc>
          <w:tcPr/>
          <w:p>
            <w:pPr>
              <w:pStyle w:val="Compact"/>
              <w:jc w:val="left"/>
            </w:pPr>
            <w:r>
              <w:t xml:space="preserve">1,100.00</w:t>
            </w:r>
          </w:p>
        </w:tc>
        <w:tc>
          <w:tcPr/>
          <w:p>
            <w:pPr>
              <w:pStyle w:val="Compact"/>
              <w:jc w:val="left"/>
            </w:pPr>
            <w:r>
              <w:t xml:space="preserve">39,600.00</w:t>
            </w:r>
          </w:p>
        </w:tc>
      </w:tr>
      <w:tr>
        <w:tc>
          <w:tcPr/>
          <w:p>
            <w:pPr>
              <w:pStyle w:val="Compact"/>
              <w:jc w:val="left"/>
            </w:pPr>
            <w:r>
              <w:t xml:space="preserve">4</w:t>
            </w:r>
          </w:p>
        </w:tc>
        <w:tc>
          <w:tcPr/>
          <w:p>
            <w:pPr>
              <w:pStyle w:val="Compact"/>
              <w:jc w:val="left"/>
            </w:pPr>
            <w:r>
              <w:t xml:space="preserve">Interim financial review and internal control assessment conducted by the senior Accountant at the client's warehouse facility in Kadıköy, Istanbul, Turkey. Includes management letter with recommendations.</w:t>
            </w:r>
          </w:p>
        </w:tc>
        <w:tc>
          <w:tcPr/>
          <w:p>
            <w:pPr>
              <w:pStyle w:val="Compact"/>
              <w:jc w:val="left"/>
            </w:pPr>
            <w:r>
              <w:t xml:space="preserve">May 2025</w:t>
            </w:r>
          </w:p>
        </w:tc>
        <w:tc>
          <w:tcPr/>
          <w:p>
            <w:pPr>
              <w:pStyle w:val="Compact"/>
              <w:jc w:val="left"/>
            </w:pPr>
            <w:r>
              <w:t xml:space="preserve">16</w:t>
            </w:r>
          </w:p>
        </w:tc>
        <w:tc>
          <w:tcPr/>
          <w:p>
            <w:pPr>
              <w:pStyle w:val="Compact"/>
              <w:jc w:val="left"/>
            </w:pPr>
            <w:r>
              <w:t xml:space="preserve">2,000.00</w:t>
            </w:r>
          </w:p>
        </w:tc>
        <w:tc>
          <w:tcPr/>
          <w:p>
            <w:pPr>
              <w:pStyle w:val="Compact"/>
              <w:jc w:val="left"/>
            </w:pPr>
            <w:r>
              <w:t xml:space="preserve">32,000.00</w:t>
            </w:r>
          </w:p>
        </w:tc>
      </w:tr>
      <w:tr>
        <w:tc>
          <w:tcPr/>
          <w:p>
            <w:pPr>
              <w:pStyle w:val="Compact"/>
              <w:jc w:val="left"/>
            </w:pPr>
            <w:r>
              <w:t xml:space="preserve">5</w:t>
            </w:r>
          </w:p>
        </w:tc>
        <w:tc>
          <w:tcPr/>
          <w:p>
            <w:pPr>
              <w:pStyle w:val="Compact"/>
              <w:jc w:val="left"/>
            </w:pPr>
            <w:r>
              <w:t xml:space="preserve">Advisory services regarding cross-border trade tax implications under the Turkey-EU Customs Union Agreement, including transfer pricing documentation and customs duty optimization for import/export operations.</w:t>
            </w:r>
          </w:p>
        </w:tc>
        <w:tc>
          <w:tcPr/>
          <w:p>
            <w:pPr>
              <w:pStyle w:val="Compact"/>
              <w:jc w:val="left"/>
            </w:pPr>
            <w:r>
              <w:t xml:space="preserve">Jun 2025</w:t>
            </w:r>
          </w:p>
        </w:tc>
        <w:tc>
          <w:tcPr/>
          <w:p>
            <w:pPr>
              <w:pStyle w:val="Compact"/>
              <w:jc w:val="left"/>
            </w:pPr>
            <w:r>
              <w:t xml:space="preserve">12</w:t>
            </w:r>
          </w:p>
        </w:tc>
        <w:tc>
          <w:tcPr/>
          <w:p>
            <w:pPr>
              <w:pStyle w:val="Compact"/>
              <w:jc w:val="left"/>
            </w:pPr>
            <w:r>
              <w:t xml:space="preserve">2,500.00</w:t>
            </w:r>
          </w:p>
        </w:tc>
        <w:tc>
          <w:tcPr/>
          <w:p>
            <w:pPr>
              <w:pStyle w:val="Compact"/>
              <w:jc w:val="left"/>
            </w:pPr>
            <w:r>
              <w:t xml:space="preserve">30,000.00</w:t>
            </w:r>
          </w:p>
        </w:tc>
      </w:tr>
      <w:tr>
        <w:tc>
          <w:tcPr/>
          <w:p>
            <w:pPr>
              <w:pStyle w:val="Compact"/>
              <w:jc w:val="left"/>
            </w:pPr>
            <w:r>
              <w:t xml:space="preserve">6</w:t>
            </w:r>
          </w:p>
        </w:tc>
        <w:tc>
          <w:tcPr/>
          <w:p>
            <w:pPr>
              <w:pStyle w:val="Compact"/>
              <w:jc w:val="left"/>
            </w:pPr>
            <w:r>
              <w:t xml:space="preserve">Annual tax planning consultation and preparation of the corporate tax (Kurumlar Vergisi) return for the 2024 fiscal year, filed with the Şişli Tax Office in Istanbul, Turkey.</w:t>
            </w:r>
          </w:p>
        </w:tc>
        <w:tc>
          <w:tcPr/>
          <w:p>
            <w:pPr>
              <w:pStyle w:val="Compact"/>
              <w:jc w:val="left"/>
            </w:pPr>
            <w:r>
              <w:t xml:space="preserve">Apr 2025</w:t>
            </w:r>
          </w:p>
        </w:tc>
        <w:tc>
          <w:tcPr/>
          <w:p>
            <w:pPr>
              <w:pStyle w:val="Compact"/>
              <w:jc w:val="left"/>
            </w:pPr>
            <w:r>
              <w:t xml:space="preserve">20</w:t>
            </w:r>
          </w:p>
        </w:tc>
        <w:tc>
          <w:tcPr/>
          <w:p>
            <w:pPr>
              <w:pStyle w:val="Compact"/>
              <w:jc w:val="left"/>
            </w:pPr>
            <w:r>
              <w:t xml:space="preserve">1,800.00</w:t>
            </w:r>
          </w:p>
        </w:tc>
        <w:tc>
          <w:tcPr/>
          <w:p>
            <w:pPr>
              <w:pStyle w:val="Compact"/>
              <w:jc w:val="left"/>
            </w:pPr>
            <w:r>
              <w:t xml:space="preserve">36,000.00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231,200.00 TRY</w:t>
            </w:r>
          </w:p>
        </w:tc>
      </w:tr>
      <w:tr>
        <w:tc>
          <w:tcPr/>
          <w:p>
            <w:pPr>
              <w:pStyle w:val="Compact"/>
              <w:jc w:val="left"/>
            </w:pPr>
            <w:r>
              <w:t xml:space="preserve">VAT (KDV) — 20%</w:t>
            </w:r>
          </w:p>
        </w:tc>
        <w:tc>
          <w:tcPr/>
          <w:p>
            <w:pPr>
              <w:pStyle w:val="Compact"/>
              <w:jc w:val="left"/>
            </w:pPr>
            <w:r>
              <w:t xml:space="preserve">46,240.00 TRY</w:t>
            </w:r>
          </w:p>
        </w:tc>
      </w:tr>
      <w:tr>
        <w:tc>
          <w:tcPr/>
          <w:p>
            <w:pPr>
              <w:pStyle w:val="Compact"/>
              <w:jc w:val="left"/>
            </w:pPr>
            <w:r>
              <w:t xml:space="preserve">Withholding Tax (Stopaj) — 20%</w:t>
            </w:r>
          </w:p>
        </w:tc>
        <w:tc>
          <w:tcPr/>
          <w:p>
            <w:pPr>
              <w:pStyle w:val="Compact"/>
              <w:jc w:val="left"/>
            </w:pPr>
            <w:r>
              <w:t xml:space="preserve">(46,240.00) TRY</w:t>
            </w:r>
          </w:p>
        </w:tc>
      </w:tr>
      <w:tr>
        <w:tc>
          <w:tcPr/>
          <w:p>
            <w:pPr>
              <w:pStyle w:val="Compact"/>
              <w:jc w:val="left"/>
            </w:pPr>
            <w:r>
              <w:t xml:space="preserve">Grand Total Due</w:t>
            </w:r>
          </w:p>
        </w:tc>
        <w:tc>
          <w:tcPr/>
          <w:p>
            <w:pPr>
              <w:pStyle w:val="Compact"/>
              <w:jc w:val="left"/>
            </w:pPr>
            <w:r>
              <w:t xml:space="preserve">231,200.00 TRY</w:t>
            </w:r>
          </w:p>
        </w:tc>
      </w:tr>
    </w:tbl>
    <w:bookmarkStart w:id="25" w:name="terms-conditions-payment-instructions"/>
    <w:p>
      <w:pPr>
        <w:pStyle w:val="Heading3"/>
      </w:pPr>
      <w:r>
        <w:t xml:space="preserve">Terms, Conditions &amp; Payment Instructions</w:t>
      </w:r>
    </w:p>
    <w:p>
      <w:pPr>
        <w:pStyle w:val="FirstParagraph"/>
      </w:pPr>
      <w:r>
        <w:t xml:space="preserve">This Invoice is issued in accordance with the service agreement dated 01 January 2025 between Istanbul Financial Accounting Ltd. (the Accountant) and Marmara Trading &amp; Logistics A.Ş. (the Client). The following terms govern this Invoice and all associated accountant services rendered in Turkey Istanbul:</w:t>
      </w:r>
    </w:p>
    <w:p>
      <w:pPr>
        <w:numPr>
          <w:ilvl w:val="0"/>
          <w:numId w:val="1001"/>
        </w:numPr>
        <w:pStyle w:val="Compact"/>
      </w:pPr>
      <w:r>
        <w:rPr>
          <w:bCs/>
          <w:b/>
        </w:rPr>
        <w:t xml:space="preserve">Payment Terms:</w:t>
      </w:r>
      <w:r>
        <w:t xml:space="preserve"> </w:t>
      </w:r>
      <w:r>
        <w:t xml:space="preserve">Full payment of this Invoice is due within fifteen (15) calendar days of the Invoice date. Payment shall be made via bank transfer to the account specified below. Late payments shall incur a penalty interest rate of 1.5% per month as stipulated under Turkish commercial law.</w:t>
      </w:r>
    </w:p>
    <w:p>
      <w:pPr>
        <w:numPr>
          <w:ilvl w:val="0"/>
          <w:numId w:val="1001"/>
        </w:numPr>
        <w:pStyle w:val="Compact"/>
      </w:pPr>
      <w:r>
        <w:rPr>
          <w:bCs/>
          <w:b/>
        </w:rPr>
        <w:t xml:space="preserve">Bank Details:</w:t>
      </w:r>
      <w:r>
        <w:t xml:space="preserve"> </w:t>
      </w:r>
      <w:r>
        <w:t xml:space="preserve">Ziraat Bankası A.Ş. — IBAN: TR33 0001 0002 3456 7890 1234 56 — Account Name: Istanbul Financial Accounting Ltd. — SWIFT: TCZBTR2A.</w:t>
      </w:r>
    </w:p>
    <w:p>
      <w:pPr>
        <w:numPr>
          <w:ilvl w:val="0"/>
          <w:numId w:val="1001"/>
        </w:numPr>
        <w:pStyle w:val="Compact"/>
      </w:pPr>
      <w:r>
        <w:rPr>
          <w:bCs/>
          <w:b/>
        </w:rPr>
        <w:t xml:space="preserve">Tax Compliance:</w:t>
      </w:r>
      <w:r>
        <w:t xml:space="preserve"> </w:t>
      </w:r>
      <w:r>
        <w:t xml:space="preserve">The Accountant confirms that all services described in this Invoice have been performed in full compliance with the Turkish Tax Procedure Law, the Turkish Commercial Code, and the regulations of the Turkish Ministry of Finance. All applicable taxes, including VAT (KDV) and withholding tax (Stopaj), have been calculated and reported as required by law in Turkey Istanbul.</w:t>
      </w:r>
    </w:p>
    <w:p>
      <w:pPr>
        <w:numPr>
          <w:ilvl w:val="0"/>
          <w:numId w:val="1001"/>
        </w:numPr>
        <w:pStyle w:val="Compact"/>
      </w:pPr>
      <w:r>
        <w:rPr>
          <w:bCs/>
          <w:b/>
        </w:rPr>
        <w:t xml:space="preserve">Confidentiality:</w:t>
      </w:r>
      <w:r>
        <w:t xml:space="preserve"> </w:t>
      </w:r>
      <w:r>
        <w:t xml:space="preserve">The Accountant shall maintain strict confidentiality over all financial records, tax filings, and business information accessed during the course of this engagement. This obligation survives the termination of the service agreement for a period of five (5) years.</w:t>
      </w:r>
    </w:p>
    <w:p>
      <w:pPr>
        <w:numPr>
          <w:ilvl w:val="0"/>
          <w:numId w:val="1001"/>
        </w:numPr>
        <w:pStyle w:val="Compact"/>
      </w:pPr>
      <w:r>
        <w:rPr>
          <w:bCs/>
          <w:b/>
        </w:rPr>
        <w:t xml:space="preserve">Dispute Resolution:</w:t>
      </w:r>
      <w:r>
        <w:t xml:space="preserve"> </w:t>
      </w:r>
      <w:r>
        <w:t xml:space="preserve">Any disputes arising from this Invoice or the associated accountant services shall be resolved through the Istanbul Arbitration Institute (ISTAC) in accordance with its rules. The governing law for this Invoice is the Republic of Turkey.</w:t>
      </w:r>
    </w:p>
    <w:p>
      <w:pPr>
        <w:numPr>
          <w:ilvl w:val="0"/>
          <w:numId w:val="1001"/>
        </w:numPr>
        <w:pStyle w:val="Compact"/>
      </w:pPr>
      <w:r>
        <w:rPr>
          <w:bCs/>
          <w:b/>
        </w:rPr>
        <w:t xml:space="preserve">Invoice Validity:</w:t>
      </w:r>
      <w:r>
        <w:t xml:space="preserve"> </w:t>
      </w:r>
      <w:r>
        <w:t xml:space="preserve">This Invoice remains valid for a period of ninety (90) days from the date of issue. After this period, the Accountant reserves the right to reissue the Invoice with updated tax rates if applicable legislative changes have occurred in Turkey Istanbul.</w:t>
      </w:r>
    </w:p>
    <w:bookmarkEnd w:id="25"/>
    <w:p>
      <w:pPr>
        <w:pStyle w:val="FirstParagraph"/>
      </w:pPr>
      <w:r>
        <w:rPr>
          <w:bCs/>
          <w:b/>
        </w:rPr>
        <w:t xml:space="preserve">Istanbul Financial Accounting Ltd.</w:t>
      </w:r>
      <w:r>
        <w:t xml:space="preserve"> </w:t>
      </w:r>
      <w:r>
        <w:t xml:space="preserve">— Registered Accountant Firm in Turkey Istanbul</w:t>
      </w:r>
    </w:p>
    <w:p>
      <w:pPr>
        <w:pStyle w:val="BodyText"/>
      </w:pPr>
      <w:r>
        <w:t xml:space="preserve">TÜRMOB Member No: 78452 | Chamber of Certified Public Accountants of Istanbul (İstanbul SMMM Odası)</w:t>
      </w:r>
    </w:p>
    <w:p>
      <w:pPr>
        <w:pStyle w:val="BodyText"/>
      </w:pPr>
      <w:r>
        <w:t xml:space="preserve">This Invoice was electronically generated and is valid without a physical signature in accordance with the Turkish Electronic Commerce Law (5070).</w:t>
      </w:r>
    </w:p>
    <w:p>
      <w:pPr>
        <w:pStyle w:val="BodyText"/>
      </w:pPr>
      <w:r>
        <w:t xml:space="preserve">© 2025 Istanbul Financial Accounting Ltd. All rights reserved. | Invoice INV-2025-IST-00472</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Accountant Services - Turkey Istanbul</dc:title>
  <dc:creator/>
  <dc:language>en</dc:language>
  <cp:keywords/>
  <dcterms:created xsi:type="dcterms:W3CDTF">2026-10-10T06:26:44Z</dcterms:created>
  <dcterms:modified xsi:type="dcterms:W3CDTF">2026-10-10T06:26:44Z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