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995239eb4b9d4dfdaab749ee84c614aef65025d"/>
    <w:p>
      <w:pPr>
        <w:pStyle w:val="Heading1"/>
      </w:pPr>
      <w:r>
        <w:t xml:space="preserve">Al Noor Accounting &amp; Financial Services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2 445 6789 | Email: billing@alnoor-acc.ae</w:t>
      </w:r>
    </w:p>
    <w:p>
      <w:pPr>
        <w:pStyle w:val="BodyText"/>
      </w:pPr>
      <w:r>
        <w:t xml:space="preserve">Trade License No: 102345678 | TRN: 100234567800003</w:t>
      </w:r>
    </w:p>
    <w:bookmarkEnd w:id="20"/>
    <w:bookmarkStart w:id="21" w:name="invoice"/>
    <w:p>
      <w:pPr>
        <w:pStyle w:val="Heading2"/>
      </w:pPr>
      <w:r>
        <w:t xml:space="preserve">INVOICE</w:t>
      </w:r>
    </w:p>
    <w:p>
      <w:pPr>
        <w:pStyle w:val="FirstParagraph"/>
      </w:pPr>
      <w:r>
        <w:t xml:space="preserve">Professional Accountant Services</w:t>
      </w:r>
    </w:p>
    <w:p>
      <w:pPr>
        <w:pStyle w:val="BodyText"/>
      </w:pPr>
      <w:r>
        <w:t xml:space="preserve">United Arab Emirates Abu Dhabi</w:t>
      </w:r>
    </w:p>
    <w:p>
      <w:pPr>
        <w:pStyle w:val="BodyText"/>
      </w:pPr>
      <w:r>
        <w:t xml:space="preserve">Invoice No: INV-2025-00482</w:t>
      </w:r>
    </w:p>
    <w:bookmarkEnd w:id="21"/>
    <w:bookmarkStart w:id="22" w:name="bill-to"/>
    <w:p>
      <w:pPr>
        <w:pStyle w:val="Heading3"/>
      </w:pPr>
      <w:r>
        <w:t xml:space="preserve">Bill To</w:t>
      </w:r>
    </w:p>
    <w:p>
      <w:pPr>
        <w:pStyle w:val="FirstParagraph"/>
      </w:pPr>
      <w:r>
        <w:rPr>
          <w:bCs/>
          <w:b/>
        </w:rPr>
        <w:t xml:space="preserve">Emirates Coastal Development FZ-LLC</w:t>
      </w:r>
    </w:p>
    <w:p>
      <w:pPr>
        <w:pStyle w:val="BodyText"/>
      </w:pPr>
      <w:r>
        <w:t xml:space="preserve">Attn: Mr. Khalid Al Mansoori, CFO</w:t>
      </w:r>
    </w:p>
    <w:p>
      <w:pPr>
        <w:pStyle w:val="BodyText"/>
      </w:pPr>
      <w:r>
        <w:t xml:space="preserve">Plot 45, Al Maryah Island, Abu Dhabi</w:t>
      </w:r>
    </w:p>
    <w:p>
      <w:pPr>
        <w:pStyle w:val="BodyText"/>
      </w:pPr>
      <w:r>
        <w:t xml:space="preserve">United Arab Emirates</w:t>
      </w:r>
    </w:p>
    <w:p>
      <w:pPr>
        <w:pStyle w:val="BodyText"/>
      </w:pPr>
      <w:r>
        <w:t xml:space="preserve">VAT Registration No: 100987654300003</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AED (UAE Dirham)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Reference / Standard</w:t>
            </w:r>
          </w:p>
        </w:tc>
        <w:tc>
          <w:tcPr/>
          <w:p>
            <w:pPr>
              <w:pStyle w:val="Compact"/>
              <w:jc w:val="left"/>
            </w:pPr>
            <w:r>
              <w:t xml:space="preserve">Hours / Units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Monthly financial bookkeeping and ledger maintenance for the client's operations in Abu Dhabi, United Arab Emirates, including journal entries, accounts payable and receivable reconciliation.</w:t>
            </w:r>
          </w:p>
        </w:tc>
        <w:tc>
          <w:tcPr/>
          <w:p>
            <w:pPr>
              <w:pStyle w:val="Compact"/>
              <w:jc w:val="left"/>
            </w:pPr>
            <w:r>
              <w:t xml:space="preserve">IFRS / UAE GAAP</w:t>
            </w:r>
          </w:p>
        </w:tc>
        <w:tc>
          <w:tcPr/>
          <w:p>
            <w:pPr>
              <w:pStyle w:val="Compact"/>
              <w:jc w:val="left"/>
            </w:pPr>
            <w:r>
              <w:t xml:space="preserve">40 hrs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Preparation and filing of monthly VAT returns with the Federal Tax Authority (FTA) of the United Arab Emirates, ensuring full compliance with the 5% standard VAT rate applicable in Abu Dhabi.</w:t>
            </w:r>
          </w:p>
        </w:tc>
        <w:tc>
          <w:tcPr/>
          <w:p>
            <w:pPr>
              <w:pStyle w:val="Compact"/>
              <w:jc w:val="left"/>
            </w:pPr>
            <w:r>
              <w:t xml:space="preserve">FTA VAT Law</w:t>
            </w:r>
          </w:p>
        </w:tc>
        <w:tc>
          <w:tcPr/>
          <w:p>
            <w:pPr>
              <w:pStyle w:val="Compact"/>
              <w:jc w:val="left"/>
            </w:pPr>
            <w:r>
              <w:t xml:space="preserve">12 hrs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Payroll processing and WPS (Wage Protection System) compliance for 85 employees, including end-of-service benefit calculations in accordance with UAE Labour Law and Abu Dhabi municipal regulations.</w:t>
            </w:r>
          </w:p>
        </w:tc>
        <w:tc>
          <w:tcPr/>
          <w:p>
            <w:pPr>
              <w:pStyle w:val="Compact"/>
              <w:jc w:val="left"/>
            </w:pPr>
            <w:r>
              <w:t xml:space="preserve">UAE Labour Law</w:t>
            </w:r>
          </w:p>
        </w:tc>
        <w:tc>
          <w:tcPr/>
          <w:p>
            <w:pPr>
              <w:pStyle w:val="Compact"/>
              <w:jc w:val="left"/>
            </w:pPr>
            <w:r>
              <w:t xml:space="preserve">20 hrs</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Preparation of interim management accounts, profit and loss statement, and balance sheet for the month of May 2025, delivered to the CFO of the client entity registered in Abu Dhabi, United Arab Emirates.</w:t>
            </w:r>
          </w:p>
        </w:tc>
        <w:tc>
          <w:tcPr/>
          <w:p>
            <w:pPr>
              <w:pStyle w:val="Compact"/>
              <w:jc w:val="left"/>
            </w:pPr>
            <w:r>
              <w:t xml:space="preserve">IFRS</w:t>
            </w:r>
          </w:p>
        </w:tc>
        <w:tc>
          <w:tcPr/>
          <w:p>
            <w:pPr>
              <w:pStyle w:val="Compact"/>
              <w:jc w:val="left"/>
            </w:pPr>
            <w:r>
              <w:t xml:space="preserve">16 hrs</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Advisory services on corporate tax registration and compliance under the new UAE Corporate Tax Law (Federal Decree-Law No. 47 of 2022), including tax planning consultation for the client's Abu Dhabi operations.</w:t>
            </w:r>
          </w:p>
        </w:tc>
        <w:tc>
          <w:tcPr/>
          <w:p>
            <w:pPr>
              <w:pStyle w:val="Compact"/>
              <w:jc w:val="left"/>
            </w:pPr>
            <w:r>
              <w:t xml:space="preserve">UAE CT Law</w:t>
            </w:r>
          </w:p>
        </w:tc>
        <w:tc>
          <w:tcPr/>
          <w:p>
            <w:pPr>
              <w:pStyle w:val="Compact"/>
              <w:jc w:val="left"/>
            </w:pPr>
            <w:r>
              <w:t xml:space="preserve">8 hrs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Bank reconciliation and cash flow analysis for all operating accounts held with UAE-based banks (ADCB, FAB, ENBD) for the client's Abu Dhabi branch.</w:t>
            </w:r>
          </w:p>
        </w:tc>
        <w:tc>
          <w:tcPr/>
          <w:p>
            <w:pPr>
              <w:pStyle w:val="Compact"/>
              <w:jc w:val="left"/>
            </w:pPr>
            <w:r>
              <w:t xml:space="preserve">Internal Audit</w:t>
            </w:r>
          </w:p>
        </w:tc>
        <w:tc>
          <w:tcPr/>
          <w:p>
            <w:pPr>
              <w:pStyle w:val="Compact"/>
              <w:jc w:val="left"/>
            </w:pPr>
            <w:r>
              <w:t xml:space="preserve">10 hrs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Annual audit preparation support, documentation review, and coordination with the external audit firm for the fiscal year ending 31 December 2025, as required for entities operating in the United Arab Emirates Abu Dhabi jurisdiction.</w:t>
            </w:r>
          </w:p>
        </w:tc>
        <w:tc>
          <w:tcPr/>
          <w:p>
            <w:pPr>
              <w:pStyle w:val="Compact"/>
              <w:jc w:val="left"/>
            </w:pPr>
            <w:r>
              <w:t xml:space="preserve">ISA / UAE SOA</w:t>
            </w:r>
          </w:p>
        </w:tc>
        <w:tc>
          <w:tcPr/>
          <w:p>
            <w:pPr>
              <w:pStyle w:val="Compact"/>
              <w:jc w:val="left"/>
            </w:pPr>
            <w:r>
              <w:t xml:space="preserve">6 hrs</w:t>
            </w:r>
          </w:p>
        </w:tc>
        <w:tc>
          <w:tcPr/>
          <w:p>
            <w:pPr>
              <w:pStyle w:val="Compact"/>
              <w:jc w:val="left"/>
            </w:pPr>
            <w:r>
              <w:t xml:space="preserve">300.00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29,100.00 AED</w:t>
            </w:r>
          </w:p>
        </w:tc>
      </w:tr>
      <w:tr>
        <w:tc>
          <w:tcPr/>
          <w:p>
            <w:pPr>
              <w:pStyle w:val="Compact"/>
              <w:jc w:val="left"/>
            </w:pPr>
            <w:r>
              <w:t xml:space="preserve">VAT @ 5%</w:t>
            </w:r>
            <w:r>
              <w:t xml:space="preserve"> </w:t>
            </w:r>
            <w:r>
              <w:t xml:space="preserve">UAE FTA</w:t>
            </w:r>
          </w:p>
        </w:tc>
        <w:tc>
          <w:tcPr/>
          <w:p>
            <w:pPr>
              <w:pStyle w:val="Compact"/>
              <w:jc w:val="left"/>
            </w:pPr>
            <w:r>
              <w:t xml:space="preserve">1,455.00 AED</w:t>
            </w:r>
          </w:p>
        </w:tc>
      </w:tr>
      <w:tr>
        <w:tc>
          <w:tcPr/>
          <w:p>
            <w:pPr>
              <w:pStyle w:val="Compact"/>
              <w:jc w:val="left"/>
            </w:pPr>
            <w:r>
              <w:t xml:space="preserve">Discount (Loyalty – 3% for annual retainer)</w:t>
            </w:r>
          </w:p>
        </w:tc>
        <w:tc>
          <w:tcPr/>
          <w:p>
            <w:pPr>
              <w:pStyle w:val="Compact"/>
              <w:jc w:val="left"/>
            </w:pPr>
            <w:r>
              <w:t xml:space="preserve">(873.00) AED</w:t>
            </w:r>
          </w:p>
        </w:tc>
      </w:tr>
      <w:tr>
        <w:tc>
          <w:tcPr/>
          <w:p>
            <w:pPr>
              <w:pStyle w:val="Compact"/>
              <w:jc w:val="left"/>
            </w:pPr>
            <w:r>
              <w:t xml:space="preserve">Grand Total Due</w:t>
            </w:r>
          </w:p>
        </w:tc>
        <w:tc>
          <w:tcPr/>
          <w:p>
            <w:pPr>
              <w:pStyle w:val="Compact"/>
              <w:jc w:val="left"/>
            </w:pPr>
            <w:r>
              <w:t xml:space="preserve">29,682.00 AED</w:t>
            </w:r>
          </w:p>
        </w:tc>
      </w:tr>
    </w:tbl>
    <w:bookmarkStart w:id="24"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Please remit payment via bank transfer to Al Noor Accounting &amp; Financial Services LLC, Account No. 012-3456789-001, Abu Dhabi Commercial Bank (ADCB), Branch: Al Reem Island, Abu Dhabi, United Arab Emirates. SWIFT Code: ADCBAEAD. IBAN: AE070123456789012345678.</w:t>
      </w:r>
    </w:p>
    <w:p>
      <w:pPr>
        <w:pStyle w:val="BodyText"/>
      </w:pPr>
      <w:r>
        <w:rPr>
          <w:bCs/>
          <w:b/>
        </w:rPr>
        <w:t xml:space="preserve">Payment Deadline:</w:t>
      </w:r>
      <w:r>
        <w:t xml:space="preserve"> </w:t>
      </w:r>
      <w:r>
        <w:t xml:space="preserve">This Invoice must be settled in full no later than 30 June 2025. A late payment surcharge of 2% per month will be applied to any outstanding balance after the due date, in accordance with the service agreement signed between both parties in Abu Dhabi.</w:t>
      </w:r>
    </w:p>
    <w:p>
      <w:pPr>
        <w:pStyle w:val="BodyText"/>
      </w:pPr>
      <w:r>
        <w:rPr>
          <w:bCs/>
          <w:b/>
        </w:rPr>
        <w:t xml:space="preserve">VAT Compliance:</w:t>
      </w:r>
      <w:r>
        <w:t xml:space="preserve"> </w:t>
      </w:r>
      <w:r>
        <w:t xml:space="preserve">This Invoice has been issued in compliance with the Federal Tax Authority (FTA) regulations of the United Arab Emirates. The 5% Value Added Tax (VAT) has been applied as per the standard rate. The Tax Registration Number (TRN) of the Accountant service provider is printed above for verification purposes.</w:t>
      </w:r>
    </w:p>
    <w:p>
      <w:pPr>
        <w:pStyle w:val="BodyText"/>
      </w:pPr>
      <w:r>
        <w:rPr>
          <w:bCs/>
          <w:b/>
        </w:rPr>
        <w:t xml:space="preserve">Disputes:</w:t>
      </w:r>
      <w:r>
        <w:t xml:space="preserve"> </w:t>
      </w:r>
      <w:r>
        <w:t xml:space="preserve">Any discrepancies regarding this Invoice should be communicated in writing to the undersigned Accountant within 7 business days of the Invoice date. Failure to raise a dispute within this period shall constitute acceptance of the charges as stated.</w:t>
      </w:r>
    </w:p>
    <w:p>
      <w:pPr>
        <w:pStyle w:val="BodyText"/>
      </w:pPr>
      <w:r>
        <w:rPr>
          <w:bCs/>
          <w:b/>
        </w:rPr>
        <w:t xml:space="preserve">Service Jurisdiction:</w:t>
      </w:r>
      <w:r>
        <w:t xml:space="preserve"> </w:t>
      </w:r>
      <w:r>
        <w:t xml:space="preserve">All professional Accountant services rendered under this Invoice are governed by the laws of the United Arab Emirates, with Abu Dhabi as the exclusive jurisdiction for any legal proceedings arising from this engagement.</w:t>
      </w:r>
    </w:p>
    <w:bookmarkEnd w:id="24"/>
    <w:p>
      <w:pPr>
        <w:pStyle w:val="BodyText"/>
      </w:pPr>
      <w:r>
        <w:rPr>
          <w:bCs/>
          <w:b/>
        </w:rPr>
        <w:t xml:space="preserve">Al Noor Accounting &amp; Financial Services LLC</w:t>
      </w:r>
      <w:r>
        <w:t xml:space="preserve"> </w:t>
      </w:r>
      <w:r>
        <w:t xml:space="preserve">– Licensed Accountant Firm, Abu Dhabi, United Arab Emirates</w:t>
      </w:r>
    </w:p>
    <w:p>
      <w:pPr>
        <w:pStyle w:val="BodyText"/>
      </w:pPr>
      <w:r>
        <w:t xml:space="preserve">Registered with the Abu Dhabi Department of Economic Development (DED) | Member of the Abu Dhabi Association of Accountants</w:t>
      </w:r>
    </w:p>
    <w:p>
      <w:pPr>
        <w:pStyle w:val="BodyText"/>
      </w:pPr>
      <w:r>
        <w:t xml:space="preserve">This Invoice is valid for 90 days from the date of issue. Please quote Invoice No. INV-2025-00482 in all correspondence.</w:t>
      </w:r>
    </w:p>
    <w:p>
      <w:pPr>
        <w:pStyle w:val="BodyText"/>
      </w:pPr>
      <w:r>
        <w:t xml:space="preserve">Thank you for choosing our professional Accountant services in the United Arab Emirates Abu Dhabi. We look forward to continuing our partnership.</w:t>
      </w:r>
    </w:p>
    <w:p>
      <w:pPr>
        <w:pStyle w:val="BodyText"/>
      </w:pPr>
      <w:r>
        <w:t xml:space="preserve">This document is electronically generated and does not require a physical signature. It constitutes a valid commercial Invoice under UAE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United Arab Emirates Abu Dhabi</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