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995239eb4b9d4dfdaab749ee84c614aef65025d"/>
    <w:p>
      <w:pPr>
        <w:pStyle w:val="Heading1"/>
      </w:pPr>
      <w:r>
        <w:t xml:space="preserve">Al Noor Accounting &amp; Financial Services LLC</w:t>
      </w:r>
    </w:p>
    <w:p>
      <w:pPr>
        <w:pStyle w:val="FirstParagraph"/>
      </w:pPr>
      <w:r>
        <w:t xml:space="preserve">Office 1204, Level 12, Burj Khalifa Tower</w:t>
      </w:r>
    </w:p>
    <w:p>
      <w:pPr>
        <w:pStyle w:val="BodyText"/>
      </w:pPr>
      <w:r>
        <w:t xml:space="preserve">Downtown Dubai, United Arab Emirates Dubai</w:t>
      </w:r>
    </w:p>
    <w:p>
      <w:pPr>
        <w:pStyle w:val="BodyText"/>
      </w:pPr>
      <w:r>
        <w:t xml:space="preserve">Tel: +971 4 555 0192 | Email: billing@alnoor-accounting.ae</w:t>
      </w:r>
    </w:p>
    <w:p>
      <w:pPr>
        <w:pStyle w:val="BodyText"/>
      </w:pPr>
      <w:r>
        <w:t xml:space="preserve">Trade License No: 1045872 | TRN: 100458720100003</w:t>
      </w:r>
    </w:p>
    <w:p>
      <w:pPr>
        <w:pStyle w:val="BodyText"/>
      </w:pPr>
      <w:r>
        <w:t xml:space="preserve">CR No: 1045872 | VAT Registered Entity</w:t>
      </w:r>
    </w:p>
    <w:bookmarkEnd w:id="20"/>
    <w:bookmarkStart w:id="21" w:name="invoice"/>
    <w:p>
      <w:pPr>
        <w:pStyle w:val="Heading2"/>
      </w:pPr>
      <w:r>
        <w:t xml:space="preserve">INVOICE</w:t>
      </w:r>
    </w:p>
    <w:p>
      <w:pPr>
        <w:pStyle w:val="FirstParagraph"/>
      </w:pPr>
      <w:r>
        <w:t xml:space="preserve">Professional Accountant Services</w:t>
      </w:r>
    </w:p>
    <w:p>
      <w:pPr>
        <w:pStyle w:val="BodyText"/>
      </w:pPr>
      <w:r>
        <w:t xml:space="preserve">United Arab Emirates Dubai</w:t>
      </w:r>
    </w:p>
    <w:p>
      <w:pPr>
        <w:pStyle w:val="BodyText"/>
      </w:pPr>
      <w:r>
        <w:t xml:space="preserve">VAT INVOICE</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ANF-2025-00487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AED (UAE Dirham)</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Gulf Horizon Trading FZ-LLC</w:t>
      </w:r>
    </w:p>
    <w:p>
      <w:pPr>
        <w:pStyle w:val="BodyText"/>
      </w:pPr>
      <w:r>
        <w:rPr>
          <w:bCs/>
          <w:b/>
        </w:rPr>
        <w:t xml:space="preserve">Attn:</w:t>
      </w:r>
      <w:r>
        <w:t xml:space="preserve"> </w:t>
      </w:r>
      <w:r>
        <w:t xml:space="preserve">Mr. Khalid Al Mansoori, CFO</w:t>
      </w:r>
    </w:p>
    <w:p>
      <w:pPr>
        <w:pStyle w:val="BodyText"/>
      </w:pPr>
      <w:r>
        <w:rPr>
          <w:bCs/>
          <w:b/>
        </w:rPr>
        <w:t xml:space="preserve">Address:</w:t>
      </w:r>
      <w:r>
        <w:t xml:space="preserve"> </w:t>
      </w:r>
      <w:r>
        <w:t xml:space="preserve">Unit 7, Jebel Ali Free Zone, Dubai, United Arab Emirates</w:t>
      </w:r>
    </w:p>
    <w:p>
      <w:pPr>
        <w:pStyle w:val="BodyText"/>
      </w:pPr>
      <w:r>
        <w:rPr>
          <w:bCs/>
          <w:b/>
        </w:rPr>
        <w:t xml:space="preserve">Tel:</w:t>
      </w:r>
      <w:r>
        <w:t xml:space="preserve"> </w:t>
      </w:r>
      <w:r>
        <w:t xml:space="preserve">+971 50 784 2210</w:t>
      </w:r>
    </w:p>
    <w:p>
      <w:pPr>
        <w:pStyle w:val="BodyText"/>
      </w:pPr>
      <w:r>
        <w:rPr>
          <w:bCs/>
          <w:b/>
        </w:rPr>
        <w:t xml:space="preserve">Email:</w:t>
      </w:r>
      <w:r>
        <w:t xml:space="preserve"> </w:t>
      </w:r>
      <w:r>
        <w:t xml:space="preserve">k.mansoori@gulfhorizon.ae</w:t>
      </w:r>
    </w:p>
    <w:p>
      <w:pPr>
        <w:pStyle w:val="BodyText"/>
      </w:pPr>
      <w:r>
        <w:rPr>
          <w:bCs/>
          <w:b/>
        </w:rPr>
        <w:t xml:space="preserve">Client TRN:</w:t>
      </w:r>
      <w:r>
        <w:t xml:space="preserve"> </w:t>
      </w:r>
      <w:r>
        <w:t xml:space="preserve">100982345600003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Rate (AED)</w:t>
            </w:r>
          </w:p>
        </w:tc>
        <w:tc>
          <w:tcPr/>
          <w:p>
            <w:pPr>
              <w:pStyle w:val="Compact"/>
              <w:jc w:val="left"/>
            </w:pPr>
            <w:r>
              <w:t xml:space="preserve">Hours</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Monthly bookkeeping and ledger maintenance by a certified Accountant, including journal entries, bank reconciliations, and accounts payable/receivable management for the client's operations in United Arab Emirates Dubai.</w:t>
            </w:r>
          </w:p>
        </w:tc>
        <w:tc>
          <w:tcPr/>
          <w:p>
            <w:pPr>
              <w:pStyle w:val="Compact"/>
              <w:jc w:val="left"/>
            </w:pPr>
            <w:r>
              <w:t xml:space="preserve">May 2025</w:t>
            </w:r>
          </w:p>
        </w:tc>
        <w:tc>
          <w:tcPr/>
          <w:p>
            <w:pPr>
              <w:pStyle w:val="Compact"/>
              <w:jc w:val="left"/>
            </w:pPr>
            <w:r>
              <w:t xml:space="preserve">250.00</w:t>
            </w:r>
          </w:p>
        </w:tc>
        <w:tc>
          <w:tcPr/>
          <w:p>
            <w:pPr>
              <w:pStyle w:val="Compact"/>
              <w:jc w:val="left"/>
            </w:pPr>
            <w:r>
              <w:t xml:space="preserve">40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Preparation and filing of monthly VAT returns (201 form) with the Federal Tax Authority of the United Arab Emirates Dubai, including detailed reconciliation of input and output tax as required by the Accountant's compliance checklist.</w:t>
            </w:r>
          </w:p>
        </w:tc>
        <w:tc>
          <w:tcPr/>
          <w:p>
            <w:pPr>
              <w:pStyle w:val="Compact"/>
              <w:jc w:val="left"/>
            </w:pPr>
            <w:r>
              <w:t xml:space="preserve">May 2025</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Monthly management accounts preparation and financial reporting by the senior Accountant, comprising profit and loss statement, balance sheet, cash flow statement, and variance analysis with written commentary for the board of directors.</w:t>
            </w:r>
          </w:p>
        </w:tc>
        <w:tc>
          <w:tcPr/>
          <w:p>
            <w:pPr>
              <w:pStyle w:val="Compact"/>
              <w:jc w:val="left"/>
            </w:pPr>
            <w:r>
              <w:t xml:space="preserve">May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Payroll processing and WPS (Wage Protection System) compliance for 25 employees, handled by the dedicated Accountant team in accordance with UAE Labour Law and United Arab Emirates Dubai municipal regulations.</w:t>
            </w:r>
          </w:p>
        </w:tc>
        <w:tc>
          <w:tcPr/>
          <w:p>
            <w:pPr>
              <w:pStyle w:val="Compact"/>
              <w:jc w:val="left"/>
            </w:pPr>
            <w:r>
              <w:t xml:space="preserve">May 2025</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Advisory consultation on corporate tax planning under the new UAE Corporate Tax Law (Federal Decree-Law No. 47 of 2022), provided by a senior Accountant with specialized expertise in United Arab Emirates Dubai tax jurisdiction.</w:t>
            </w:r>
          </w:p>
        </w:tc>
        <w:tc>
          <w:tcPr/>
          <w:p>
            <w:pPr>
              <w:pStyle w:val="Compact"/>
              <w:jc w:val="left"/>
            </w:pPr>
            <w:r>
              <w:t xml:space="preserve">May 2025</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Annual audit preparation support and internal control review, conducted by the Accountant engagement team to ensure readiness for the statutory audit cycle in the United Arab Emirates Dubai financial year.</w:t>
            </w:r>
          </w:p>
        </w:tc>
        <w:tc>
          <w:tcPr/>
          <w:p>
            <w:pPr>
              <w:pStyle w:val="Compact"/>
              <w:jc w:val="left"/>
            </w:pPr>
            <w:r>
              <w:t xml:space="preserve">May 2025</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24,600.00</w:t>
            </w:r>
          </w:p>
        </w:tc>
      </w:tr>
      <w:tr>
        <w:tc>
          <w:tcPr/>
          <w:p>
            <w:pPr>
              <w:pStyle w:val="Compact"/>
              <w:jc w:val="left"/>
            </w:pPr>
            <w:r>
              <w:t xml:space="preserve">VAT @ 5% (AED)</w:t>
            </w:r>
          </w:p>
        </w:tc>
        <w:tc>
          <w:tcPr/>
          <w:p>
            <w:pPr>
              <w:pStyle w:val="Compact"/>
              <w:jc w:val="left"/>
            </w:pPr>
            <w:r>
              <w:t xml:space="preserve">1,230.00</w:t>
            </w:r>
          </w:p>
        </w:tc>
      </w:tr>
      <w:tr>
        <w:tc>
          <w:tcPr/>
          <w:p>
            <w:pPr>
              <w:pStyle w:val="Compact"/>
              <w:jc w:val="left"/>
            </w:pPr>
            <w:r>
              <w:t xml:space="preserve">Discount / Adjustment (AED)</w:t>
            </w:r>
          </w:p>
        </w:tc>
        <w:tc>
          <w:tcPr/>
          <w:p>
            <w:pPr>
              <w:pStyle w:val="Compact"/>
              <w:jc w:val="left"/>
            </w:pPr>
            <w:r>
              <w:t xml:space="preserve">(0.00)</w:t>
            </w:r>
          </w:p>
        </w:tc>
      </w:tr>
      <w:tr>
        <w:tc>
          <w:tcPr/>
          <w:p>
            <w:pPr>
              <w:pStyle w:val="Compact"/>
              <w:jc w:val="left"/>
            </w:pPr>
            <w:r>
              <w:t xml:space="preserve">TOTAL AMOUNT DUE (AED)</w:t>
            </w:r>
          </w:p>
        </w:tc>
        <w:tc>
          <w:tcPr/>
          <w:p>
            <w:pPr>
              <w:pStyle w:val="Compact"/>
              <w:jc w:val="left"/>
            </w:pPr>
            <w:r>
              <w:t xml:space="preserve">25,830.00</w:t>
            </w:r>
          </w:p>
        </w:tc>
      </w:tr>
    </w:tbl>
    <w:bookmarkStart w:id="24" w:name="invoice-notes-payment-instructions"/>
    <w:p>
      <w:pPr>
        <w:pStyle w:val="Heading3"/>
      </w:pPr>
      <w:r>
        <w:t xml:space="preserve">Invoice Notes &amp; Payment Instructions</w:t>
      </w:r>
    </w:p>
    <w:p>
      <w:pPr>
        <w:pStyle w:val="FirstParagraph"/>
      </w:pPr>
      <w:r>
        <w:rPr>
          <w:bCs/>
          <w:b/>
        </w:rPr>
        <w:t xml:space="preserve">Bank Transfer:</w:t>
      </w:r>
      <w:r>
        <w:t xml:space="preserve"> </w:t>
      </w:r>
      <w:r>
        <w:t xml:space="preserve">Please remit the total Invoice amount of AED 25,830.00 to the following account:</w:t>
      </w:r>
    </w:p>
    <w:p>
      <w:pPr>
        <w:pStyle w:val="BodyText"/>
      </w:pPr>
      <w:r>
        <w:t xml:space="preserve">Bank: Emirates NBD | Account Name: Al Noor Accounting &amp; Financial Services LLC</w:t>
      </w:r>
    </w:p>
    <w:p>
      <w:pPr>
        <w:pStyle w:val="BodyText"/>
      </w:pPr>
      <w:r>
        <w:t xml:space="preserve">IBAN: AE07 0240 0000 0000 1234 5678 9 | SWIFT: EMBAEADJ</w:t>
      </w:r>
    </w:p>
    <w:p>
      <w:pPr>
        <w:pStyle w:val="BodyText"/>
      </w:pPr>
      <w:r>
        <w:t xml:space="preserve">Please reference Invoice No. ANF-2025-00487 in your payment remittance to ensure proper allocation by our Accountant billing team.</w:t>
      </w:r>
    </w:p>
    <w:p>
      <w:pPr>
        <w:pStyle w:val="BodyText"/>
      </w:pPr>
      <w:r>
        <w:rPr>
          <w:bCs/>
          <w:b/>
        </w:rPr>
        <w:t xml:space="preserve">Important:</w:t>
      </w:r>
      <w:r>
        <w:t xml:space="preserve"> </w:t>
      </w:r>
      <w:r>
        <w:t xml:space="preserve">This Invoice is issued in accordance with the Federal Tax Authority regulations governing VAT-registered businesses operating in United Arab Emirates Dubai. The 5% VAT rate applied herein is the standard rate effective under UAE tax law. This document constitutes a valid tax Invoice for the purposes of input tax credit claims by the recipient.</w:t>
      </w:r>
    </w:p>
    <w:bookmarkEnd w:id="24"/>
    <w:bookmarkStart w:id="25" w:name="terms-and-conditions-of-this-invoice"/>
    <w:p>
      <w:pPr>
        <w:pStyle w:val="Heading3"/>
      </w:pPr>
      <w:r>
        <w:t xml:space="preserve">Terms and Conditions of This Invoice</w:t>
      </w:r>
    </w:p>
    <w:p>
      <w:pPr>
        <w:pStyle w:val="FirstParagraph"/>
      </w:pPr>
      <w:r>
        <w:t xml:space="preserve">1. This Invoice is issued by Al Noor Accounting &amp; Financial Services LLC, a licensed Accountant firm registered in United Arab Emirates Dubai, and is governed by the laws of the United Arab Emirates.</w:t>
      </w:r>
    </w:p>
    <w:p>
      <w:pPr>
        <w:pStyle w:val="BodyText"/>
      </w:pPr>
      <w:r>
        <w:t xml:space="preserve">2. Payment is due within fifteen (15) calendar days from the Invoice date. Late payments shall attract a penalty of 2% per month as permitted under UAE commercial law.</w:t>
      </w:r>
    </w:p>
    <w:p>
      <w:pPr>
        <w:pStyle w:val="BodyText"/>
      </w:pPr>
      <w:r>
        <w:t xml:space="preserve">3. All services rendered by our Accountant team are subject to the Master Service Agreement dated 01 January 2025 between the parties. This Invoice represents the monthly billing cycle under that agreement.</w:t>
      </w:r>
    </w:p>
    <w:p>
      <w:pPr>
        <w:pStyle w:val="BodyText"/>
      </w:pPr>
      <w:r>
        <w:t xml:space="preserve">4. The client acknowledges that the Accountant services described in this Invoice have been performed in compliance with UAE IFRS, Federal Tax Authority directives, and all applicable regulations in United Arab Emirates Dubai.</w:t>
      </w:r>
    </w:p>
    <w:p>
      <w:pPr>
        <w:pStyle w:val="BodyText"/>
      </w:pPr>
      <w:r>
        <w:t xml:space="preserve">5. Any disputes arising from this Invoice shall be resolved through the Dubai Courts or, at the client's election, through the Dubai International Financial Centre (DIFC) Courts.</w:t>
      </w:r>
    </w:p>
    <w:p>
      <w:pPr>
        <w:pStyle w:val="BodyText"/>
      </w:pPr>
      <w:r>
        <w:t xml:space="preserve">6. This Invoice is valid for a period of ninety (90) days from the date of issue. After this period, the Accountant firm reserves the right to reissue or adjust the Invoice as necessary.</w:t>
      </w:r>
    </w:p>
    <w:p>
      <w:pPr>
        <w:pStyle w:val="BodyText"/>
      </w:pPr>
      <w:r>
        <w:t xml:space="preserve">7. The client is responsible for providing all supporting documentation, bank statements, and transaction records to the Accountant in a timely manner to ensure accurate and complete financial reporting.</w:t>
      </w:r>
    </w:p>
    <w:bookmarkEnd w:id="25"/>
    <w:p>
      <w:pPr>
        <w:pStyle w:val="BodyText"/>
      </w:pPr>
      <w:r>
        <w:t xml:space="preserve">Thank you for choosing Al Noor Accounting &amp; Financial Services LLC as your trusted Accountant partner in United Arab Emirates Dubai.</w:t>
      </w:r>
    </w:p>
    <w:p>
      <w:pPr>
        <w:pStyle w:val="BodyText"/>
      </w:pPr>
      <w:r>
        <w:t xml:space="preserve">This Invoice was generated electronically and is valid without a physical signature. For verification, please contact our billing department at billing@alnoor-accounting.ae.</w:t>
      </w:r>
    </w:p>
    <w:p>
      <w:pPr>
        <w:pStyle w:val="BodyText"/>
      </w:pPr>
      <w:r>
        <w:t xml:space="preserve">Al Noor Accounting &amp; Financial Services LLC | United Arab Emirates Dubai | TRN: 100458720100003 | Invoice ANF-2025-00487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United Arab Emirates Dubai</dc:title>
  <dc:creator/>
  <dc:language>en</dc:language>
  <cp:keywords/>
  <dcterms:created xsi:type="dcterms:W3CDTF">2026-10-10T05:51:41Z</dcterms:created>
  <dcterms:modified xsi:type="dcterms:W3CDTF">2026-10-10T05:51:41Z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