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blackbrook-accounting-advisory-ltd"/>
    <w:p>
      <w:pPr>
        <w:pStyle w:val="Heading1"/>
      </w:pPr>
      <w:r>
        <w:t xml:space="preserve">Blackbrook Accounting &amp; Advisory Ltd</w:t>
      </w:r>
    </w:p>
    <w:p>
      <w:pPr>
        <w:pStyle w:val="FirstParagraph"/>
      </w:pPr>
      <w:r>
        <w:t xml:space="preserve">Chartered Accountant Services</w:t>
      </w:r>
    </w:p>
    <w:p>
      <w:pPr>
        <w:pStyle w:val="BodyText"/>
      </w:pPr>
      <w:r>
        <w:t xml:space="preserve">142 New Street, Birmingham, B2 4HA</w:t>
      </w:r>
    </w:p>
    <w:p>
      <w:pPr>
        <w:pStyle w:val="BodyText"/>
      </w:pPr>
      <w:r>
        <w:t xml:space="preserve">United Kingdom</w:t>
      </w:r>
    </w:p>
    <w:p>
      <w:pPr>
        <w:pStyle w:val="BodyText"/>
      </w:pPr>
      <w:r>
        <w:t xml:space="preserve">Tel: +44 (0)121 496 0000</w:t>
      </w:r>
    </w:p>
    <w:p>
      <w:pPr>
        <w:pStyle w:val="BodyText"/>
      </w:pPr>
      <w:r>
        <w:t xml:space="preserve">Email: invoices@blackbrookaccounting.co.uk</w:t>
      </w:r>
    </w:p>
    <w:p>
      <w:pPr>
        <w:pStyle w:val="BodyText"/>
      </w:pPr>
      <w:r>
        <w:t xml:space="preserve">VAT Registration No: GB 123 4567 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INV-2025-BHM-0047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bookmarkEnd w:id="21"/>
    <w:bookmarkStart w:id="22" w:name="from-accountant"/>
    <w:p>
      <w:pPr>
        <w:pStyle w:val="Heading3"/>
      </w:pPr>
      <w:r>
        <w:t xml:space="preserve">From (Accountant)</w:t>
      </w:r>
    </w:p>
    <w:p>
      <w:pPr>
        <w:pStyle w:val="FirstParagraph"/>
      </w:pPr>
      <w:r>
        <w:rPr>
          <w:bCs/>
          <w:b/>
        </w:rPr>
        <w:t xml:space="preserve">Blackbrook Accounting &amp; Advisory Ltd</w:t>
      </w:r>
    </w:p>
    <w:p>
      <w:pPr>
        <w:pStyle w:val="BodyText"/>
      </w:pPr>
      <w:r>
        <w:t xml:space="preserve">142 New Street</w:t>
      </w:r>
    </w:p>
    <w:p>
      <w:pPr>
        <w:pStyle w:val="BodyText"/>
      </w:pPr>
      <w:r>
        <w:t xml:space="preserve">Birmingham, B2 4HA</w:t>
      </w:r>
    </w:p>
    <w:p>
      <w:pPr>
        <w:pStyle w:val="BodyText"/>
      </w:pPr>
      <w:r>
        <w:t xml:space="preserve">United Kingdom</w:t>
      </w:r>
    </w:p>
    <w:p>
      <w:pPr>
        <w:pStyle w:val="BodyText"/>
      </w:pPr>
      <w:r>
        <w:t xml:space="preserve">Company Reg No: 09876543</w:t>
      </w:r>
    </w:p>
    <w:p>
      <w:pPr>
        <w:pStyle w:val="BodyText"/>
      </w:pPr>
      <w:r>
        <w:t xml:space="preserve">ICAEW Member: 12345678</w:t>
      </w:r>
    </w:p>
    <w:bookmarkEnd w:id="22"/>
    <w:bookmarkStart w:id="23" w:name="bill-to-client"/>
    <w:p>
      <w:pPr>
        <w:pStyle w:val="Heading3"/>
      </w:pPr>
      <w:r>
        <w:t xml:space="preserve">Bill To (Client)</w:t>
      </w:r>
    </w:p>
    <w:p>
      <w:pPr>
        <w:pStyle w:val="FirstParagraph"/>
      </w:pPr>
      <w:r>
        <w:rPr>
          <w:bCs/>
          <w:b/>
        </w:rPr>
        <w:t xml:space="preserve">Meridian Retail Group PLC</w:t>
      </w:r>
    </w:p>
    <w:p>
      <w:pPr>
        <w:pStyle w:val="BodyText"/>
      </w:pPr>
      <w:r>
        <w:t xml:space="preserve">Attn: Sarah Whitfield, Finance Director</w:t>
      </w:r>
    </w:p>
    <w:p>
      <w:pPr>
        <w:pStyle w:val="BodyText"/>
      </w:pPr>
      <w:r>
        <w:t xml:space="preserve">88 Corporation Street</w:t>
      </w:r>
    </w:p>
    <w:p>
      <w:pPr>
        <w:pStyle w:val="BodyText"/>
      </w:pPr>
      <w:r>
        <w:t xml:space="preserve">Birmingham, B4 7BJ</w:t>
      </w:r>
    </w:p>
    <w:p>
      <w:pPr>
        <w:pStyle w:val="BodyText"/>
      </w:pPr>
      <w:r>
        <w:t xml:space="preserve">United Kingdom</w:t>
      </w:r>
    </w:p>
    <w:p>
      <w:pPr>
        <w:pStyle w:val="BodyText"/>
      </w:pPr>
      <w:r>
        <w:t xml:space="preserve">VAT No: GB 987 6543 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Accountant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Preparation and filing of annual company accounts and Corporation Tax return (CT600) for the financial year ended 31 March 2025, including management accounts review and statutory audit support.</w:t>
            </w:r>
          </w:p>
        </w:tc>
        <w:tc>
          <w:tcPr/>
          <w:p>
            <w:pPr>
              <w:pStyle w:val="Compact"/>
              <w:jc w:val="left"/>
            </w:pPr>
            <w:r>
              <w:t xml:space="preserve">Apr 2025 – May 2025</w:t>
            </w:r>
          </w:p>
        </w:tc>
        <w:tc>
          <w:tcPr/>
          <w:p>
            <w:pPr>
              <w:pStyle w:val="Compact"/>
              <w:jc w:val="left"/>
            </w:pPr>
            <w:r>
              <w:t xml:space="preserve">32.5</w:t>
            </w:r>
          </w:p>
        </w:tc>
        <w:tc>
          <w:tcPr/>
          <w:p>
            <w:pPr>
              <w:pStyle w:val="Compact"/>
              <w:jc w:val="left"/>
            </w:pPr>
            <w:r>
              <w:t xml:space="preserve">125.00</w:t>
            </w:r>
          </w:p>
        </w:tc>
        <w:tc>
          <w:tcPr/>
          <w:p>
            <w:pPr>
              <w:pStyle w:val="Compact"/>
              <w:jc w:val="left"/>
            </w:pPr>
            <w:r>
              <w:t xml:space="preserve">4,062.50</w:t>
            </w:r>
          </w:p>
        </w:tc>
      </w:tr>
      <w:tr>
        <w:tc>
          <w:tcPr/>
          <w:p>
            <w:pPr>
              <w:pStyle w:val="Compact"/>
              <w:jc w:val="left"/>
            </w:pPr>
            <w:r>
              <w:t xml:space="preserve">02</w:t>
            </w:r>
          </w:p>
        </w:tc>
        <w:tc>
          <w:tcPr/>
          <w:p>
            <w:pPr>
              <w:pStyle w:val="Compact"/>
              <w:jc w:val="left"/>
            </w:pPr>
            <w:r>
              <w:t xml:space="preserve">Monthly bookkeeping and ledger reconciliation services, including bank reconciliations, accounts payable and receivable processing, and VAT return preparation (VAT6) for the quarter ending 31 May 2025.</w:t>
            </w:r>
          </w:p>
        </w:tc>
        <w:tc>
          <w:tcPr/>
          <w:p>
            <w:pPr>
              <w:pStyle w:val="Compact"/>
              <w:jc w:val="left"/>
            </w:pPr>
            <w:r>
              <w:t xml:space="preserve">Mar 2025 – May 2025</w:t>
            </w:r>
          </w:p>
        </w:tc>
        <w:tc>
          <w:tcPr/>
          <w:p>
            <w:pPr>
              <w:pStyle w:val="Compact"/>
              <w:jc w:val="left"/>
            </w:pPr>
            <w:r>
              <w:t xml:space="preserve">18.0</w:t>
            </w:r>
          </w:p>
        </w:tc>
        <w:tc>
          <w:tcPr/>
          <w:p>
            <w:pPr>
              <w:pStyle w:val="Compact"/>
              <w:jc w:val="left"/>
            </w:pPr>
            <w:r>
              <w:t xml:space="preserve">110.00</w:t>
            </w:r>
          </w:p>
        </w:tc>
        <w:tc>
          <w:tcPr/>
          <w:p>
            <w:pPr>
              <w:pStyle w:val="Compact"/>
              <w:jc w:val="left"/>
            </w:pPr>
            <w:r>
              <w:t xml:space="preserve">1,980.00</w:t>
            </w:r>
          </w:p>
        </w:tc>
      </w:tr>
      <w:tr>
        <w:tc>
          <w:tcPr/>
          <w:p>
            <w:pPr>
              <w:pStyle w:val="Compact"/>
              <w:jc w:val="left"/>
            </w:pPr>
            <w:r>
              <w:t xml:space="preserve">03</w:t>
            </w:r>
          </w:p>
        </w:tc>
        <w:tc>
          <w:tcPr/>
          <w:p>
            <w:pPr>
              <w:pStyle w:val="Compact"/>
              <w:jc w:val="left"/>
            </w:pPr>
            <w:r>
              <w:t xml:space="preserve">Payroll administration and Real Time Information (RTI) submissions for 47 employees, including P60 year-end statements, pension auto-enrolment compliance, and HMRC payroll filings for Q2 2025.</w:t>
            </w:r>
          </w:p>
        </w:tc>
        <w:tc>
          <w:tcPr/>
          <w:p>
            <w:pPr>
              <w:pStyle w:val="Compact"/>
              <w:jc w:val="left"/>
            </w:pPr>
            <w:r>
              <w:t xml:space="preserve">Apr 2025 – Jun 2025</w:t>
            </w:r>
          </w:p>
        </w:tc>
        <w:tc>
          <w:tcPr/>
          <w:p>
            <w:pPr>
              <w:pStyle w:val="Compact"/>
              <w:jc w:val="left"/>
            </w:pPr>
            <w:r>
              <w:t xml:space="preserve">14.5</w:t>
            </w:r>
          </w:p>
        </w:tc>
        <w:tc>
          <w:tcPr/>
          <w:p>
            <w:pPr>
              <w:pStyle w:val="Compact"/>
              <w:jc w:val="left"/>
            </w:pPr>
            <w:r>
              <w:t xml:space="preserve">110.00</w:t>
            </w:r>
          </w:p>
        </w:tc>
        <w:tc>
          <w:tcPr/>
          <w:p>
            <w:pPr>
              <w:pStyle w:val="Compact"/>
              <w:jc w:val="left"/>
            </w:pPr>
            <w:r>
              <w:t xml:space="preserve">1,595.00</w:t>
            </w:r>
          </w:p>
        </w:tc>
      </w:tr>
      <w:tr>
        <w:tc>
          <w:tcPr/>
          <w:p>
            <w:pPr>
              <w:pStyle w:val="Compact"/>
              <w:jc w:val="left"/>
            </w:pPr>
            <w:r>
              <w:t xml:space="preserve">04</w:t>
            </w:r>
          </w:p>
        </w:tc>
        <w:tc>
          <w:tcPr/>
          <w:p>
            <w:pPr>
              <w:pStyle w:val="Compact"/>
              <w:jc w:val="left"/>
            </w:pPr>
            <w:r>
              <w:t xml:space="preserve">Advisory consultation on tax-efficient restructuring of the Birmingham retail division, including capital allowances planning, R&amp;D tax credit eligibility assessment, and transfer pricing documentation review.</w:t>
            </w:r>
          </w:p>
        </w:tc>
        <w:tc>
          <w:tcPr/>
          <w:p>
            <w:pPr>
              <w:pStyle w:val="Compact"/>
              <w:jc w:val="left"/>
            </w:pPr>
            <w:r>
              <w:t xml:space="preserve">Jun 2025</w:t>
            </w:r>
          </w:p>
        </w:tc>
        <w:tc>
          <w:tcPr/>
          <w:p>
            <w:pPr>
              <w:pStyle w:val="Compact"/>
              <w:jc w:val="left"/>
            </w:pPr>
            <w:r>
              <w:t xml:space="preserve">8.0</w:t>
            </w:r>
          </w:p>
        </w:tc>
        <w:tc>
          <w:tcPr/>
          <w:p>
            <w:pPr>
              <w:pStyle w:val="Compact"/>
              <w:jc w:val="left"/>
            </w:pPr>
            <w:r>
              <w:t xml:space="preserve">150.00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Preparation of management accounts package (P&amp;L, Balance Sheet, Cash Flow Statement) with variance analysis and KPI reporting for the Board of Directors meeting held in Birmingham.</w:t>
            </w:r>
          </w:p>
        </w:tc>
        <w:tc>
          <w:tcPr/>
          <w:p>
            <w:pPr>
              <w:pStyle w:val="Compact"/>
              <w:jc w:val="left"/>
            </w:pPr>
            <w:r>
              <w:t xml:space="preserve">May 2025</w:t>
            </w:r>
          </w:p>
        </w:tc>
        <w:tc>
          <w:tcPr/>
          <w:p>
            <w:pPr>
              <w:pStyle w:val="Compact"/>
              <w:jc w:val="left"/>
            </w:pPr>
            <w:r>
              <w:t xml:space="preserve">10.0</w:t>
            </w:r>
          </w:p>
        </w:tc>
        <w:tc>
          <w:tcPr/>
          <w:p>
            <w:pPr>
              <w:pStyle w:val="Compact"/>
              <w:jc w:val="left"/>
            </w:pPr>
            <w:r>
              <w:t xml:space="preserve">125.00</w:t>
            </w:r>
          </w:p>
        </w:tc>
        <w:tc>
          <w:tcPr/>
          <w:p>
            <w:pPr>
              <w:pStyle w:val="Compact"/>
              <w:jc w:val="left"/>
            </w:pPr>
            <w:r>
              <w:t xml:space="preserve">1,250.00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£10,087.50</w:t>
            </w:r>
          </w:p>
        </w:tc>
      </w:tr>
      <w:tr>
        <w:tc>
          <w:tcPr/>
          <w:p>
            <w:pPr>
              <w:pStyle w:val="Compact"/>
              <w:jc w:val="left"/>
            </w:pPr>
            <w:r>
              <w:t xml:space="preserve">VAT @ 20%</w:t>
            </w:r>
          </w:p>
        </w:tc>
        <w:tc>
          <w:tcPr/>
          <w:p>
            <w:pPr>
              <w:pStyle w:val="Compact"/>
              <w:jc w:val="left"/>
            </w:pPr>
            <w:r>
              <w:t xml:space="preserve">£2,017.50</w:t>
            </w:r>
          </w:p>
        </w:tc>
      </w:tr>
      <w:tr>
        <w:tc>
          <w:tcPr/>
          <w:p>
            <w:pPr>
              <w:pStyle w:val="Compact"/>
              <w:jc w:val="left"/>
            </w:pPr>
            <w:r>
              <w:t xml:space="preserve">TOTAL AMOUNT DUE</w:t>
            </w:r>
          </w:p>
        </w:tc>
        <w:tc>
          <w:tcPr/>
          <w:p>
            <w:pPr>
              <w:pStyle w:val="Compact"/>
              <w:jc w:val="left"/>
            </w:pPr>
            <w:r>
              <w:t xml:space="preserve">£12,105.00</w:t>
            </w:r>
          </w:p>
        </w:tc>
      </w:tr>
    </w:tbl>
    <w:bookmarkStart w:id="24" w:name="payment-instructions"/>
    <w:p>
      <w:pPr>
        <w:pStyle w:val="Heading3"/>
      </w:pPr>
      <w:r>
        <w:t xml:space="preserve">Payment Instructions</w:t>
      </w:r>
    </w:p>
    <w:p>
      <w:pPr>
        <w:pStyle w:val="FirstParagraph"/>
      </w:pPr>
      <w:r>
        <w:rPr>
          <w:bCs/>
          <w:b/>
        </w:rPr>
        <w:t xml:space="preserve">Method:</w:t>
      </w:r>
      <w:r>
        <w:t xml:space="preserve"> </w:t>
      </w:r>
      <w:r>
        <w:t xml:space="preserve">Bank Transfer (BACS / Faster Payments)</w:t>
      </w:r>
    </w:p>
    <w:p>
      <w:pPr>
        <w:pStyle w:val="BodyText"/>
      </w:pPr>
      <w:r>
        <w:rPr>
          <w:bCs/>
          <w:b/>
        </w:rPr>
        <w:t xml:space="preserve">Bank:</w:t>
      </w:r>
      <w:r>
        <w:t xml:space="preserve"> </w:t>
      </w:r>
      <w:r>
        <w:t xml:space="preserve">NatWest, Birmingham Central Branch</w:t>
      </w:r>
    </w:p>
    <w:p>
      <w:pPr>
        <w:pStyle w:val="BodyText"/>
      </w:pPr>
      <w:r>
        <w:rPr>
          <w:bCs/>
          <w:b/>
        </w:rPr>
        <w:t xml:space="preserve">Account Name:</w:t>
      </w:r>
      <w:r>
        <w:t xml:space="preserve"> </w:t>
      </w:r>
      <w:r>
        <w:t xml:space="preserve">Blackbrook Accounting &amp; Advisory Ltd</w:t>
      </w:r>
    </w:p>
    <w:p>
      <w:pPr>
        <w:pStyle w:val="BodyText"/>
      </w:pPr>
      <w:r>
        <w:rPr>
          <w:bCs/>
          <w:b/>
        </w:rPr>
        <w:t xml:space="preserve">Sort Code:</w:t>
      </w:r>
      <w:r>
        <w:t xml:space="preserve"> </w:t>
      </w:r>
      <w:r>
        <w:t xml:space="preserve">60-93-84</w:t>
      </w:r>
    </w:p>
    <w:p>
      <w:pPr>
        <w:pStyle w:val="BodyText"/>
      </w:pPr>
      <w:r>
        <w:rPr>
          <w:bCs/>
          <w:b/>
        </w:rPr>
        <w:t xml:space="preserve">Account Number:</w:t>
      </w:r>
      <w:r>
        <w:t xml:space="preserve"> </w:t>
      </w:r>
      <w:r>
        <w:t xml:space="preserve">50123456</w:t>
      </w:r>
    </w:p>
    <w:p>
      <w:pPr>
        <w:pStyle w:val="BodyText"/>
      </w:pPr>
      <w:r>
        <w:rPr>
          <w:bCs/>
          <w:b/>
        </w:rPr>
        <w:t xml:space="preserve">Reference:</w:t>
      </w:r>
      <w:r>
        <w:t xml:space="preserve"> </w:t>
      </w:r>
      <w:r>
        <w:t xml:space="preserve">INV-2025-BHM-0047</w:t>
      </w:r>
    </w:p>
    <w:p>
      <w:pPr>
        <w:pStyle w:val="BodyText"/>
      </w:pPr>
      <w:r>
        <w:rPr>
          <w:bCs/>
          <w:b/>
        </w:rPr>
        <w:t xml:space="preserve">SWIFT/BIC:</w:t>
      </w:r>
      <w:r>
        <w:t xml:space="preserve"> </w:t>
      </w:r>
      <w:r>
        <w:t xml:space="preserve">NWBKGB2L</w:t>
      </w:r>
    </w:p>
    <w:p>
      <w:pPr>
        <w:pStyle w:val="BodyText"/>
      </w:pPr>
      <w:r>
        <w:t xml:space="preserve">Please ensure the invoice reference is included with your payment to facilitate accurate reconciliation of this Accountant invoice.</w:t>
      </w:r>
    </w:p>
    <w:bookmarkEnd w:id="24"/>
    <w:bookmarkStart w:id="25" w:name="notes"/>
    <w:p>
      <w:pPr>
        <w:pStyle w:val="Heading3"/>
      </w:pPr>
      <w:r>
        <w:t xml:space="preserve">Notes</w:t>
      </w:r>
    </w:p>
    <w:p>
      <w:pPr>
        <w:pStyle w:val="FirstParagraph"/>
      </w:pPr>
      <w:r>
        <w:t xml:space="preserve">This Invoice has been issued by a registered Chartered Accountant practising in Birmingham, United Kingdom, in accordance with the ICAEW Code of Ethics and the requirements of HM Revenue &amp; Customs. All services described herein were performed by qualified Accountant professionals at our Birmingham office.</w:t>
      </w:r>
    </w:p>
    <w:p>
      <w:pPr>
        <w:pStyle w:val="BodyText"/>
      </w:pPr>
      <w:r>
        <w:t xml:space="preserve">Please note that this Invoice is subject to the standard terms and conditions of Blackbrook Accounting &amp; Advisory Ltd. Late payment may incur interest at a rate of 4% above the Bank of England base rate, in accordance with the Late Payment of Commercial Debts (Interest) Act 1998, as applicable in the United Kingdom.</w:t>
      </w:r>
    </w:p>
    <w:p>
      <w:pPr>
        <w:pStyle w:val="BodyText"/>
      </w:pPr>
      <w:r>
        <w:t xml:space="preserve">Should you have any queries regarding this Invoice or the Accountant services rendered, please contact our Birmingham office directly at the number or email address provided above. We are available Monday to Friday, 09:00 to 17:30, United Kingdom time.</w:t>
      </w:r>
    </w:p>
    <w:bookmarkEnd w:id="25"/>
    <w:bookmarkStart w:id="26" w:name="terms-and-conditions"/>
    <w:p>
      <w:pPr>
        <w:pStyle w:val="Heading3"/>
      </w:pPr>
      <w:r>
        <w:t xml:space="preserve">Terms and Conditions</w:t>
      </w:r>
    </w:p>
    <w:p>
      <w:pPr>
        <w:pStyle w:val="FirstParagraph"/>
      </w:pPr>
      <w:r>
        <w:t xml:space="preserve">1. This Invoice is due for payment within thirty (30) calendar days of the date of issue, as stated above. Payment is to be made in full by bank transfer to the account details specified.</w:t>
      </w:r>
    </w:p>
    <w:p>
      <w:pPr>
        <w:pStyle w:val="BodyText"/>
      </w:pPr>
      <w:r>
        <w:t xml:space="preserve">2. All fees are exclusive of Value Added Tax (VAT), which is charged at the current standard rate of 20% in the United Kingdom. VAT is applied in accordance with the Value Added Tax Act 1994.</w:t>
      </w:r>
    </w:p>
    <w:p>
      <w:pPr>
        <w:pStyle w:val="BodyText"/>
      </w:pPr>
      <w:r>
        <w:t xml:space="preserve">3. The Accountant services described in this Invoice were delivered in Birmingham, United Kingdom, and are governed by the laws of England and Wales. Any disputes arising from this Invoice shall be subject to the exclusive jurisdiction of the courts of Birmingham, United Kingdom.</w:t>
      </w:r>
    </w:p>
    <w:p>
      <w:pPr>
        <w:pStyle w:val="BodyText"/>
      </w:pPr>
      <w:r>
        <w:t xml:space="preserve">4. Blackbrook Accounting &amp; Advisory Ltd reserves the right to suspend ongoing Accountant services if payment of this Invoice is not received by the due date. A late payment charge of 1.5% per month (or part thereof) may be applied to outstanding balances.</w:t>
      </w:r>
    </w:p>
    <w:p>
      <w:pPr>
        <w:pStyle w:val="BodyText"/>
      </w:pPr>
      <w:r>
        <w:t xml:space="preserve">5. All work product, reports, and financial statements prepared by the Accountant under this engagement remain the intellectual property of Blackbrook Accounting &amp; Advisory Ltd until full payment of this Invoice has been received and cleared.</w:t>
      </w:r>
    </w:p>
    <w:p>
      <w:pPr>
        <w:pStyle w:val="BodyText"/>
      </w:pPr>
      <w:r>
        <w:t xml:space="preserve">6. This Invoice constitutes a valid tax document for the purposes of HMRC compliance. Please retain a copy for your company's statutory records in accordance with the Companies Act 2006.</w:t>
      </w:r>
    </w:p>
    <w:bookmarkEnd w:id="26"/>
    <w:p>
      <w:pPr>
        <w:pStyle w:val="BodyText"/>
      </w:pPr>
      <w:r>
        <w:t xml:space="preserve">Blackbrook Accounting &amp; Advisory Ltd | 142 New Street, Birmingham, B2 4HA, United Kingdom</w:t>
      </w:r>
    </w:p>
    <w:p>
      <w:pPr>
        <w:pStyle w:val="BodyText"/>
      </w:pPr>
      <w:r>
        <w:t xml:space="preserve">Registered in England &amp; Wales No. 09876543 | VAT No. GB 123 4567 89 | ICAEW Member Firm</w:t>
      </w:r>
    </w:p>
    <w:p>
      <w:pPr>
        <w:pStyle w:val="BodyText"/>
      </w:pPr>
      <w:r>
        <w:t xml:space="preserve">This Invoice was generated electronically and is valid without a physical signature. For verification, please contact our Birmingham office.</w:t>
      </w:r>
    </w:p>
    <w:p>
      <w:pPr>
        <w:pStyle w:val="BodyText"/>
      </w:pPr>
      <w:r>
        <w:t xml:space="preserve">© 2025 Blackbrook Accounting &amp; Advisory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Birmingham, United Kingdom</dc:title>
  <dc:creator/>
  <dc:language>en-GB</dc:language>
  <cp:keywords/>
  <dcterms:created xsi:type="dcterms:W3CDTF">2026-10-10T08:06:14Z</dcterms:created>
  <dcterms:modified xsi:type="dcterms:W3CDTF">2026-10-10T08:06:14Z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