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INVOICE</w:t>
      </w:r>
    </w:p>
    <w:p>
      <w:pPr>
        <w:pStyle w:val="BodyText"/>
      </w:pPr>
      <w:r>
        <w:t xml:space="preserve">Professional Accounting Services</w:t>
      </w:r>
    </w:p>
    <w:bookmarkStart w:id="20" w:name="invoice-number"/>
    <w:p>
      <w:pPr>
        <w:pStyle w:val="Heading3"/>
      </w:pPr>
      <w:r>
        <w:t xml:space="preserve">Invoice Number:</w:t>
      </w:r>
    </w:p>
    <w:p>
      <w:pPr>
        <w:pStyle w:val="FirstParagraph"/>
      </w:pPr>
      <w:r>
        <w:t xml:space="preserve">INV-2025-LA-00472</w:t>
      </w:r>
    </w:p>
    <w:bookmarkEnd w:id="20"/>
    <w:bookmarkStart w:id="21" w:name="invoice-date"/>
    <w:p>
      <w:pPr>
        <w:pStyle w:val="Heading3"/>
      </w:pPr>
      <w:r>
        <w:t xml:space="preserve">Invoice Date:</w:t>
      </w:r>
    </w:p>
    <w:p>
      <w:pPr>
        <w:pStyle w:val="FirstParagraph"/>
      </w:pPr>
      <w:r>
        <w:t xml:space="preserve">June 15, 2025</w:t>
      </w:r>
    </w:p>
    <w:bookmarkEnd w:id="21"/>
    <w:bookmarkStart w:id="22" w:name="due-date"/>
    <w:p>
      <w:pPr>
        <w:pStyle w:val="Heading3"/>
      </w:pPr>
      <w:r>
        <w:t xml:space="preserve">Due Date:</w:t>
      </w:r>
    </w:p>
    <w:p>
      <w:pPr>
        <w:pStyle w:val="FirstParagraph"/>
      </w:pPr>
      <w:r>
        <w:t xml:space="preserve">July 15, 2025</w:t>
      </w:r>
    </w:p>
    <w:bookmarkEnd w:id="22"/>
    <w:bookmarkStart w:id="23" w:name="service-period"/>
    <w:p>
      <w:pPr>
        <w:pStyle w:val="Heading3"/>
      </w:pPr>
      <w:r>
        <w:t xml:space="preserve">Service Period:</w:t>
      </w:r>
    </w:p>
    <w:p>
      <w:pPr>
        <w:pStyle w:val="FirstParagraph"/>
      </w:pPr>
      <w:r>
        <w:t xml:space="preserve">May 1, 2025 – May 31, 2025</w:t>
      </w:r>
    </w:p>
    <w:bookmarkEnd w:id="23"/>
    <w:p>
      <w:pPr>
        <w:pStyle w:val="BodyText"/>
      </w:pPr>
      <w:r>
        <w:rPr>
          <w:bCs/>
          <w:b/>
        </w:rPr>
        <w:t xml:space="preserve">Prepared By:</w:t>
      </w:r>
      <w:r>
        <w:br/>
      </w:r>
      <w:r>
        <w:t xml:space="preserve">Michael R. Thompson, CPA, CMA</w:t>
      </w:r>
      <w:r>
        <w:br/>
      </w:r>
      <w:r>
        <w:t xml:space="preserve">Thompson &amp; Associates Accounting Group</w:t>
      </w:r>
      <w:r>
        <w:br/>
      </w:r>
      <w:r>
        <w:t xml:space="preserve">9400 Wilshire Boulevard, Suite 1200</w:t>
      </w:r>
      <w:r>
        <w:br/>
      </w:r>
      <w:r>
        <w:t xml:space="preserve">Los Angeles, California 90069</w:t>
      </w:r>
      <w:r>
        <w:br/>
      </w:r>
      <w:r>
        <w:t xml:space="preserve">United States</w:t>
      </w:r>
      <w:r>
        <w:br/>
      </w:r>
      <w:r>
        <w:t xml:space="preserve">Phone: (213) 555-0187</w:t>
      </w:r>
      <w:r>
        <w:br/>
      </w:r>
      <w:r>
        <w:t xml:space="preserve">Email: mthompson@thompsonaccounting.com</w:t>
      </w:r>
      <w:r>
        <w:br/>
      </w:r>
      <w:r>
        <w:t xml:space="preserve">CA License No.: 128473 | EIN: 82-4471903</w:t>
      </w:r>
    </w:p>
    <w:bookmarkStart w:id="24" w:name="bill-to"/>
    <w:p>
      <w:pPr>
        <w:pStyle w:val="Heading4"/>
      </w:pPr>
      <w:r>
        <w:t xml:space="preserve">Bill To</w:t>
      </w:r>
    </w:p>
    <w:p>
      <w:pPr>
        <w:pStyle w:val="FirstParagraph"/>
      </w:pPr>
      <w:r>
        <w:rPr>
          <w:bCs/>
          <w:b/>
        </w:rPr>
        <w:t xml:space="preserve">Sunset Ventures LLC</w:t>
      </w:r>
      <w:r>
        <w:br/>
      </w:r>
      <w:r>
        <w:t xml:space="preserve">Attn: Sarah K. Mitchell, CFO</w:t>
      </w:r>
      <w:r>
        <w:br/>
      </w:r>
      <w:r>
        <w:t xml:space="preserve">1200 Ocean Avenue, Floor 8</w:t>
      </w:r>
      <w:r>
        <w:br/>
      </w:r>
      <w:r>
        <w:t xml:space="preserve">Los Angeles, California 90015</w:t>
      </w:r>
      <w:r>
        <w:br/>
      </w:r>
      <w:r>
        <w:t xml:space="preserve">United States</w:t>
      </w:r>
      <w:r>
        <w:br/>
      </w:r>
      <w:r>
        <w:t xml:space="preserve">Phone: (310) 555-0234</w:t>
      </w:r>
      <w:r>
        <w:br/>
      </w:r>
      <w:r>
        <w:t xml:space="preserve">Email: smitchell@sunsetventures.com</w:t>
      </w:r>
      <w:r>
        <w:br/>
      </w:r>
      <w:r>
        <w:t xml:space="preserve">Client Account No.: SV-2024-0091</w:t>
      </w:r>
    </w:p>
    <w:bookmarkEnd w:id="24"/>
    <w:bookmarkStart w:id="25" w:name="invoice-reference"/>
    <w:p>
      <w:pPr>
        <w:pStyle w:val="Heading4"/>
      </w:pPr>
      <w:r>
        <w:t xml:space="preserve">Invoice Reference</w:t>
      </w:r>
    </w:p>
    <w:p>
      <w:pPr>
        <w:pStyle w:val="FirstParagraph"/>
      </w:pPr>
      <w:r>
        <w:rPr>
          <w:bCs/>
          <w:b/>
        </w:rPr>
        <w:t xml:space="preserve">Engagement Type:</w:t>
      </w:r>
      <w:r>
        <w:t xml:space="preserve"> </w:t>
      </w:r>
      <w:r>
        <w:t xml:space="preserve">Monthly Retainer</w:t>
      </w:r>
      <w:r>
        <w:br/>
      </w:r>
      <w:r>
        <w:rPr>
          <w:bCs/>
          <w:b/>
        </w:rPr>
        <w:t xml:space="preserve">Accountant Assigned:</w:t>
      </w:r>
      <w:r>
        <w:t xml:space="preserve"> </w:t>
      </w:r>
      <w:r>
        <w:t xml:space="preserve">M.R. Thompson, CPA</w:t>
      </w:r>
      <w:r>
        <w:br/>
      </w:r>
      <w:r>
        <w:rPr>
          <w:bCs/>
          <w:b/>
        </w:rPr>
        <w:t xml:space="preserve">Supporting Staff:</w:t>
      </w:r>
      <w:r>
        <w:t xml:space="preserve"> </w:t>
      </w:r>
      <w:r>
        <w:t xml:space="preserve">J. Park, EA</w:t>
      </w:r>
      <w:r>
        <w:br/>
      </w:r>
      <w:r>
        <w:rPr>
          <w:bCs/>
          <w:b/>
        </w:rPr>
        <w:t xml:space="preserve">Industry:</w:t>
      </w:r>
      <w:r>
        <w:t xml:space="preserve"> </w:t>
      </w:r>
      <w:r>
        <w:t xml:space="preserve">Technology / SaaS</w:t>
      </w:r>
      <w:r>
        <w:br/>
      </w:r>
      <w:r>
        <w:rPr>
          <w:bCs/>
          <w:b/>
        </w:rPr>
        <w:t xml:space="preserve">Tax Jurisdiction:</w:t>
      </w:r>
      <w:r>
        <w:t xml:space="preserve"> </w:t>
      </w:r>
      <w:r>
        <w:t xml:space="preserve">Los Angeles County, CA</w:t>
      </w:r>
      <w:r>
        <w:br/>
      </w:r>
      <w:r>
        <w:rPr>
          <w:bCs/>
          <w:b/>
        </w:rPr>
        <w:t xml:space="preserve">Invoice Status:</w:t>
      </w:r>
      <w:r>
        <w:t xml:space="preserve"> </w:t>
      </w:r>
      <w:r>
        <w:t xml:space="preserve">Pending Payment</w:t>
      </w:r>
    </w:p>
    <w:bookmarkEnd w:id="25"/>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Monthly Financial Statement Preparation</w:t>
            </w:r>
            <w:r>
              <w:br/>
            </w:r>
            <w:r>
              <w:t xml:space="preserve">Preparation and review of balance sheet, income statement, and cash flow statement for Sunset Ventures LLC for the month of May 2025. Includes reconciliation of all bank accounts, credit card statements, and petty cash ledgers maintained in Los Angeles, California.</w:t>
            </w:r>
          </w:p>
        </w:tc>
        <w:tc>
          <w:tcPr/>
          <w:p>
            <w:pPr>
              <w:pStyle w:val="Compact"/>
              <w:jc w:val="left"/>
            </w:pPr>
            <w:r>
              <w:t xml:space="preserve">12.5 hrs</w:t>
            </w:r>
          </w:p>
        </w:tc>
        <w:tc>
          <w:tcPr/>
          <w:p>
            <w:pPr>
              <w:pStyle w:val="Compact"/>
              <w:jc w:val="left"/>
            </w:pPr>
            <w:r>
              <w:t xml:space="preserve">$185.00/hr</w:t>
            </w:r>
          </w:p>
        </w:tc>
        <w:tc>
          <w:tcPr/>
          <w:p>
            <w:pPr>
              <w:pStyle w:val="Compact"/>
              <w:jc w:val="left"/>
            </w:pPr>
            <w:r>
              <w:t xml:space="preserve">$2,312.50</w:t>
            </w:r>
          </w:p>
        </w:tc>
      </w:tr>
      <w:tr>
        <w:tc>
          <w:tcPr/>
          <w:p>
            <w:pPr>
              <w:pStyle w:val="Compact"/>
              <w:jc w:val="left"/>
            </w:pPr>
            <w:r>
              <w:t xml:space="preserve">2</w:t>
            </w:r>
          </w:p>
        </w:tc>
        <w:tc>
          <w:tcPr/>
          <w:p>
            <w:pPr>
              <w:pStyle w:val="Compact"/>
              <w:jc w:val="left"/>
            </w:pPr>
            <w:r>
              <w:rPr>
                <w:bCs/>
                <w:b/>
              </w:rPr>
              <w:t xml:space="preserve">Tax Compliance &amp; Filing Services</w:t>
            </w:r>
            <w:r>
              <w:br/>
            </w:r>
            <w:r>
              <w:t xml:space="preserve">Preparation and electronic filing of California state quarterly estimated tax payments (Form 5805) and Los Angeles County business tax obligations. Includes advisory consultation regarding federal IRS Form 1065 partnership tax implications and California FTB compliance requirements for the current fiscal quarter.</w:t>
            </w:r>
          </w:p>
        </w:tc>
        <w:tc>
          <w:tcPr/>
          <w:p>
            <w:pPr>
              <w:pStyle w:val="Compact"/>
              <w:jc w:val="left"/>
            </w:pPr>
            <w:r>
              <w:t xml:space="preserve">8.0 hrs</w:t>
            </w:r>
          </w:p>
        </w:tc>
        <w:tc>
          <w:tcPr/>
          <w:p>
            <w:pPr>
              <w:pStyle w:val="Compact"/>
              <w:jc w:val="left"/>
            </w:pPr>
            <w:r>
              <w:t xml:space="preserve">$185.00/hr</w:t>
            </w:r>
          </w:p>
        </w:tc>
        <w:tc>
          <w:tcPr/>
          <w:p>
            <w:pPr>
              <w:pStyle w:val="Compact"/>
              <w:jc w:val="left"/>
            </w:pPr>
            <w:r>
              <w:t xml:space="preserve">$1,480.00</w:t>
            </w:r>
          </w:p>
        </w:tc>
      </w:tr>
      <w:tr>
        <w:tc>
          <w:tcPr/>
          <w:p>
            <w:pPr>
              <w:pStyle w:val="Compact"/>
              <w:jc w:val="left"/>
            </w:pPr>
            <w:r>
              <w:t xml:space="preserve">3</w:t>
            </w:r>
          </w:p>
        </w:tc>
        <w:tc>
          <w:tcPr/>
          <w:p>
            <w:pPr>
              <w:pStyle w:val="Compact"/>
              <w:jc w:val="left"/>
            </w:pPr>
            <w:r>
              <w:rPr>
                <w:bCs/>
                <w:b/>
              </w:rPr>
              <w:t xml:space="preserve">Payroll Accounting &amp; Compliance Review</w:t>
            </w:r>
            <w:r>
              <w:br/>
            </w:r>
            <w:r>
              <w:t xml:space="preserve">Review and verification of payroll records for 34 employees based in the Los Angeles metropolitan area. Includes calculation of California state withholding, FICA, FUTA, and Los Angeles City business tax withholdings. Reconciliation of payroll journal entries to general ledger accounts.</w:t>
            </w:r>
          </w:p>
        </w:tc>
        <w:tc>
          <w:tcPr/>
          <w:p>
            <w:pPr>
              <w:pStyle w:val="Compact"/>
              <w:jc w:val="left"/>
            </w:pPr>
            <w:r>
              <w:t xml:space="preserve">10.0 hrs</w:t>
            </w:r>
          </w:p>
        </w:tc>
        <w:tc>
          <w:tcPr/>
          <w:p>
            <w:pPr>
              <w:pStyle w:val="Compact"/>
              <w:jc w:val="left"/>
            </w:pPr>
            <w:r>
              <w:t xml:space="preserve">$185.00/hr</w:t>
            </w:r>
          </w:p>
        </w:tc>
        <w:tc>
          <w:tcPr/>
          <w:p>
            <w:pPr>
              <w:pStyle w:val="Compact"/>
              <w:jc w:val="left"/>
            </w:pPr>
            <w:r>
              <w:t xml:space="preserve">$1,850.00</w:t>
            </w:r>
          </w:p>
        </w:tc>
      </w:tr>
      <w:tr>
        <w:tc>
          <w:tcPr/>
          <w:p>
            <w:pPr>
              <w:pStyle w:val="Compact"/>
              <w:jc w:val="left"/>
            </w:pPr>
            <w:r>
              <w:t xml:space="preserve">4</w:t>
            </w:r>
          </w:p>
        </w:tc>
        <w:tc>
          <w:tcPr/>
          <w:p>
            <w:pPr>
              <w:pStyle w:val="Compact"/>
              <w:jc w:val="left"/>
            </w:pPr>
            <w:r>
              <w:rPr>
                <w:bCs/>
                <w:b/>
              </w:rPr>
              <w:t xml:space="preserve">Accounts Payable &amp; Receivable Management</w:t>
            </w:r>
            <w:r>
              <w:br/>
            </w:r>
            <w:r>
              <w:t xml:space="preserve">Processing and categorization of 147 vendor invoices, management of 89 customer receivable accounts, aging analysis, and dunning correspondence for overdue balances. All transactions processed in accordance with GAAP standards applicable to United States businesses operating in Los Angeles.</w:t>
            </w:r>
          </w:p>
        </w:tc>
        <w:tc>
          <w:tcPr/>
          <w:p>
            <w:pPr>
              <w:pStyle w:val="Compact"/>
              <w:jc w:val="left"/>
            </w:pPr>
            <w:r>
              <w:t xml:space="preserve">14.0 hrs</w:t>
            </w:r>
          </w:p>
        </w:tc>
        <w:tc>
          <w:tcPr/>
          <w:p>
            <w:pPr>
              <w:pStyle w:val="Compact"/>
              <w:jc w:val="left"/>
            </w:pPr>
            <w:r>
              <w:t xml:space="preserve">$185.00/hr</w:t>
            </w:r>
          </w:p>
        </w:tc>
        <w:tc>
          <w:tcPr/>
          <w:p>
            <w:pPr>
              <w:pStyle w:val="Compact"/>
              <w:jc w:val="left"/>
            </w:pPr>
            <w:r>
              <w:t xml:space="preserve">$2,590.00</w:t>
            </w:r>
          </w:p>
        </w:tc>
      </w:tr>
      <w:tr>
        <w:tc>
          <w:tcPr/>
          <w:p>
            <w:pPr>
              <w:pStyle w:val="Compact"/>
              <w:jc w:val="left"/>
            </w:pPr>
            <w:r>
              <w:t xml:space="preserve">5</w:t>
            </w:r>
          </w:p>
        </w:tc>
        <w:tc>
          <w:tcPr/>
          <w:p>
            <w:pPr>
              <w:pStyle w:val="Compact"/>
              <w:jc w:val="left"/>
            </w:pPr>
            <w:r>
              <w:rPr>
                <w:bCs/>
                <w:b/>
              </w:rPr>
              <w:t xml:space="preserve">Advisory &amp; Strategic Financial Planning</w:t>
            </w:r>
            <w:r>
              <w:br/>
            </w:r>
            <w:r>
              <w:t xml:space="preserve">One-hour executive advisory session with CFO Sarah Mitchell regarding Q3 budget forecasting, capital expenditure planning, and cash flow optimization strategies specific to the Los Angeles technology sector. Includes written summary memo and projected financial models.</w:t>
            </w:r>
          </w:p>
        </w:tc>
        <w:tc>
          <w:tcPr/>
          <w:p>
            <w:pPr>
              <w:pStyle w:val="Compact"/>
              <w:jc w:val="left"/>
            </w:pPr>
            <w:r>
              <w:t xml:space="preserve">3.0 hrs</w:t>
            </w:r>
          </w:p>
        </w:tc>
        <w:tc>
          <w:tcPr/>
          <w:p>
            <w:pPr>
              <w:pStyle w:val="Compact"/>
              <w:jc w:val="left"/>
            </w:pPr>
            <w:r>
              <w:t xml:space="preserve">$225.00/hr</w:t>
            </w:r>
          </w:p>
        </w:tc>
        <w:tc>
          <w:tcPr/>
          <w:p>
            <w:pPr>
              <w:pStyle w:val="Compact"/>
              <w:jc w:val="left"/>
            </w:pPr>
            <w:r>
              <w:t xml:space="preserve">$675.00</w:t>
            </w:r>
          </w:p>
        </w:tc>
      </w:tr>
      <w:tr>
        <w:tc>
          <w:tcPr/>
          <w:p>
            <w:pPr>
              <w:pStyle w:val="Compact"/>
              <w:jc w:val="left"/>
            </w:pPr>
            <w:r>
              <w:t xml:space="preserve">6</w:t>
            </w:r>
          </w:p>
        </w:tc>
        <w:tc>
          <w:tcPr/>
          <w:p>
            <w:pPr>
              <w:pStyle w:val="Compact"/>
              <w:jc w:val="left"/>
            </w:pPr>
            <w:r>
              <w:rPr>
                <w:bCs/>
                <w:b/>
              </w:rPr>
              <w:t xml:space="preserve">Internal Controls Assessment</w:t>
            </w:r>
            <w:r>
              <w:br/>
            </w:r>
            <w:r>
              <w:t xml:space="preserve">Quarterly review of internal accounting controls, segregation of duties, and authorization protocols. Includes written report with recommendations for process improvements aligned with AICPA standards and California business regulations.</w:t>
            </w:r>
          </w:p>
        </w:tc>
        <w:tc>
          <w:tcPr/>
          <w:p>
            <w:pPr>
              <w:pStyle w:val="Compact"/>
              <w:jc w:val="left"/>
            </w:pPr>
            <w:r>
              <w:t xml:space="preserve">6.5 hrs</w:t>
            </w:r>
          </w:p>
        </w:tc>
        <w:tc>
          <w:tcPr/>
          <w:p>
            <w:pPr>
              <w:pStyle w:val="Compact"/>
              <w:jc w:val="left"/>
            </w:pPr>
            <w:r>
              <w:t xml:space="preserve">$185.00/hr</w:t>
            </w:r>
          </w:p>
        </w:tc>
        <w:tc>
          <w:tcPr/>
          <w:p>
            <w:pPr>
              <w:pStyle w:val="Compact"/>
              <w:jc w:val="left"/>
            </w:pPr>
            <w:r>
              <w:t xml:space="preserve">$1,202.50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$10,110.00</w:t>
            </w:r>
          </w:p>
        </w:tc>
      </w:tr>
      <w:tr>
        <w:tc>
          <w:tcPr/>
          <w:p>
            <w:pPr>
              <w:pStyle w:val="Compact"/>
              <w:jc w:val="left"/>
            </w:pPr>
            <w:r>
              <w:t xml:space="preserve">California Sales Tax (8.75% - Los Angeles County)</w:t>
            </w:r>
          </w:p>
        </w:tc>
        <w:tc>
          <w:tcPr/>
          <w:p>
            <w:pPr>
              <w:pStyle w:val="Compact"/>
              <w:jc w:val="left"/>
            </w:pPr>
            <w:r>
              <w:t xml:space="preserve">$884.63</w:t>
            </w:r>
          </w:p>
        </w:tc>
      </w:tr>
      <w:tr>
        <w:tc>
          <w:tcPr/>
          <w:p>
            <w:pPr>
              <w:pStyle w:val="Compact"/>
              <w:jc w:val="left"/>
            </w:pPr>
            <w:r>
              <w:t xml:space="preserve">Los Angeles City Business Tax (1.5%)</w:t>
            </w:r>
          </w:p>
        </w:tc>
        <w:tc>
          <w:tcPr/>
          <w:p>
            <w:pPr>
              <w:pStyle w:val="Compact"/>
              <w:jc w:val="left"/>
            </w:pPr>
            <w:r>
              <w:t xml:space="preserve">$151.65</w:t>
            </w:r>
          </w:p>
        </w:tc>
      </w:tr>
      <w:tr>
        <w:tc>
          <w:tcPr/>
          <w:p>
            <w:pPr>
              <w:pStyle w:val="Compact"/>
              <w:jc w:val="left"/>
            </w:pPr>
            <w:r>
              <w:t xml:space="preserve">Retainer Credit Applied</w:t>
            </w:r>
          </w:p>
        </w:tc>
        <w:tc>
          <w:tcPr/>
          <w:p>
            <w:pPr>
              <w:pStyle w:val="Compact"/>
              <w:jc w:val="left"/>
            </w:pPr>
            <w:r>
              <w:t xml:space="preserve">($2,500.00)</w:t>
            </w:r>
          </w:p>
        </w:tc>
      </w:tr>
      <w:tr>
        <w:tc>
          <w:tcPr/>
          <w:p>
            <w:pPr>
              <w:pStyle w:val="Compact"/>
              <w:jc w:val="left"/>
            </w:pPr>
            <w:r>
              <w:t xml:space="preserve">Grand Total Due</w:t>
            </w:r>
          </w:p>
        </w:tc>
        <w:tc>
          <w:tcPr/>
          <w:p>
            <w:pPr>
              <w:pStyle w:val="Compact"/>
              <w:jc w:val="left"/>
            </w:pPr>
            <w:r>
              <w:t xml:space="preserve">$8,646.28</w:t>
            </w:r>
          </w:p>
        </w:tc>
      </w:tr>
    </w:tbl>
    <w:bookmarkStart w:id="26" w:name="payment-terms-instructions"/>
    <w:p>
      <w:pPr>
        <w:pStyle w:val="Heading4"/>
      </w:pPr>
      <w:r>
        <w:t xml:space="preserve">Payment Terms &amp; Instructions</w:t>
      </w:r>
    </w:p>
    <w:p>
      <w:pPr>
        <w:pStyle w:val="FirstParagraph"/>
      </w:pPr>
      <w:r>
        <w:t xml:space="preserve">This Invoice is payable within thirty (30) days of the Invoice date, no later than July 15, 2025. Payment may be made via ACH transfer, wire transfer, or certified check. Please reference Invoice Number INV-2025-LA-00472 on all remittances. A late payment fee of 1.5% per month will be applied to any balance remaining after the due date, in accordance with California Civil Code Section 3289. All payments are subject to the terms outlined in the Master Services Agreement dated January 15, 2025, between Thompson &amp; Associates Accounting Group and Sunset Ventures LLC.</w:t>
      </w:r>
    </w:p>
    <w:p>
      <w:pPr>
        <w:pStyle w:val="BodyText"/>
      </w:pPr>
      <w:r>
        <w:rPr>
          <w:bCs/>
          <w:b/>
        </w:rPr>
        <w:t xml:space="preserve">Bank Details:</w:t>
      </w:r>
      <w:r>
        <w:t xml:space="preserve"> </w:t>
      </w:r>
      <w:r>
        <w:t xml:space="preserve">First Republic Bank, Los Angeles, CA | Routing: 121000248 | Account: 4471-8823-001 | ABA: 121000248</w:t>
      </w:r>
    </w:p>
    <w:bookmarkEnd w:id="26"/>
    <w:bookmarkStart w:id="27" w:name="important-notes"/>
    <w:p>
      <w:pPr>
        <w:pStyle w:val="Heading4"/>
      </w:pPr>
      <w:r>
        <w:t xml:space="preserve">Important Notes</w:t>
      </w:r>
    </w:p>
    <w:p>
      <w:pPr>
        <w:pStyle w:val="FirstParagraph"/>
      </w:pPr>
      <w:r>
        <w:t xml:space="preserve">1. This Invoice represents professional accounting services rendered by a licensed Accountant in the State of California. All work performed complies with the California Board of Accountancy regulations and the AICPA Code of Professional Conduct.</w:t>
      </w:r>
    </w:p>
    <w:p>
      <w:pPr>
        <w:pStyle w:val="BodyText"/>
      </w:pPr>
      <w:r>
        <w:t xml:space="preserve">2. All financial data and documents provided in connection with this Invoice are confidential and protected under California Business and Professions Code Section 17500 and applicable United States federal privacy laws.</w:t>
      </w:r>
    </w:p>
    <w:p>
      <w:pPr>
        <w:pStyle w:val="BodyText"/>
      </w:pPr>
      <w:r>
        <w:t xml:space="preserve">3. The Accountant, Michael R. Thompson, CPA, assumes no liability for tax positions taken by the client that were not specifically advised upon in writing. This Invoice does not constitute tax advice for federal or state purposes beyond the scope of services described herein.</w:t>
      </w:r>
    </w:p>
    <w:p>
      <w:pPr>
        <w:pStyle w:val="BodyText"/>
      </w:pPr>
      <w:r>
        <w:t xml:space="preserve">4. Any disputes regarding this Invoice must be submitted in writing to the undersigned Accountant within fifteen (15) business days of receipt. Disputes will be resolved under the jurisdiction of the Superior Court of Los Angeles County, State of California, United States.</w:t>
      </w:r>
    </w:p>
    <w:p>
      <w:pPr>
        <w:pStyle w:val="BodyText"/>
      </w:pPr>
      <w:r>
        <w:t xml:space="preserve">5. This Invoice is valid only for the service period indicated. Additional services rendered outside this period will be invoiced separately.</w:t>
      </w:r>
    </w:p>
    <w:bookmarkEnd w:id="27"/>
    <w:p>
      <w:pPr>
        <w:pStyle w:val="BodyText"/>
      </w:pPr>
      <w:r>
        <w:rPr>
          <w:bCs/>
          <w:b/>
        </w:rPr>
        <w:t xml:space="preserve">Thompson &amp; Associates Accounting Group</w:t>
      </w:r>
      <w:r>
        <w:t xml:space="preserve"> </w:t>
      </w:r>
      <w:r>
        <w:t xml:space="preserve">| 9400 Wilshire Boulevard, Suite 1200, Los Angeles, CA 90069, United States</w:t>
      </w:r>
    </w:p>
    <w:p>
      <w:pPr>
        <w:pStyle w:val="BodyText"/>
      </w:pPr>
      <w:r>
        <w:t xml:space="preserve">CA License No. 128473 | Member, American Institute of Certified Public Accountants (AICPA) | Member, California Society of CPAs</w:t>
      </w:r>
    </w:p>
    <w:p>
      <w:pPr>
        <w:pStyle w:val="BodyText"/>
      </w:pPr>
      <w:r>
        <w:t xml:space="preserve">This Invoice was generated electronically and is valid without a physical signature. For questions regarding this Invoice, please contact the undersigned Accountant at (213) 555-0187 or mthompson@thompsonaccounting.com.</w:t>
      </w:r>
    </w:p>
    <w:p>
      <w:pPr>
        <w:pStyle w:val="BodyText"/>
      </w:pPr>
      <w:r>
        <w:t xml:space="preserve">© 2025 Thompson &amp; Associates Accounting Group. All rights reserved. Invoice INV-2025-LA-00472.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United States Los Angeles</dc:title>
  <dc:creator/>
  <dc:language>en</dc:language>
  <cp:keywords/>
  <dcterms:created xsi:type="dcterms:W3CDTF">2026-10-10T09:23:10Z</dcterms:created>
  <dcterms:modified xsi:type="dcterms:W3CDTF">2026-10-10T09:23:10Z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