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bayside-accounting-tax-advisory-llc"/>
    <w:p>
      <w:pPr>
        <w:pStyle w:val="Heading1"/>
      </w:pPr>
      <w:r>
        <w:t xml:space="preserve">Bayside Accounting &amp; Tax Advisory LLC</w:t>
      </w:r>
    </w:p>
    <w:p>
      <w:pPr>
        <w:pStyle w:val="FirstParagraph"/>
      </w:pPr>
      <w:r>
        <w:t xml:space="preserve">Professional Accountant Services</w:t>
      </w:r>
    </w:p>
    <w:p>
      <w:pPr>
        <w:pStyle w:val="BodyText"/>
      </w:pPr>
      <w:r>
        <w:t xml:space="preserve">1200 Brickell Avenue, Suite 2450</w:t>
      </w:r>
    </w:p>
    <w:p>
      <w:pPr>
        <w:pStyle w:val="BodyText"/>
      </w:pPr>
      <w:r>
        <w:t xml:space="preserve">Miami, Florida 33131, United States</w:t>
      </w:r>
    </w:p>
    <w:p>
      <w:pPr>
        <w:pStyle w:val="BodyText"/>
      </w:pPr>
      <w:r>
        <w:t xml:space="preserve">Phone: (305) 555-0187 | Email: billing@baysideaccounting.com</w:t>
      </w:r>
    </w:p>
    <w:p>
      <w:pPr>
        <w:pStyle w:val="BodyText"/>
      </w:pPr>
      <w:r>
        <w:t xml:space="preserve">Florida CPA License No. 148723 | EIN: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bookmarkEnd w:id="21"/>
    <w:bookmarkStart w:id="22" w:name="bill-to"/>
    <w:p>
      <w:pPr>
        <w:pStyle w:val="Heading3"/>
      </w:pPr>
      <w:r>
        <w:t xml:space="preserve">Bill To</w:t>
      </w:r>
    </w:p>
    <w:p>
      <w:pPr>
        <w:pStyle w:val="FirstParagraph"/>
      </w:pPr>
      <w:r>
        <w:rPr>
          <w:bCs/>
          <w:b/>
        </w:rPr>
        <w:t xml:space="preserve">Harborview Hospitality Group, Inc.</w:t>
      </w:r>
    </w:p>
    <w:p>
      <w:pPr>
        <w:pStyle w:val="BodyText"/>
      </w:pPr>
      <w:r>
        <w:t xml:space="preserve">Attn: Mr. Daniel Reyes, Chief Financial Officer</w:t>
      </w:r>
    </w:p>
    <w:p>
      <w:pPr>
        <w:pStyle w:val="BodyText"/>
      </w:pPr>
      <w:r>
        <w:t xml:space="preserve">3400 Collins Avenue, Suite 800</w:t>
      </w:r>
    </w:p>
    <w:p>
      <w:pPr>
        <w:pStyle w:val="BodyText"/>
      </w:pPr>
      <w:r>
        <w:t xml:space="preserve">Miami Beach, Florida 33140, United States</w:t>
      </w:r>
    </w:p>
    <w:p>
      <w:pPr>
        <w:pStyle w:val="BodyText"/>
      </w:pPr>
      <w:r>
        <w:t xml:space="preserve">Tax ID: 59-2284716</w:t>
      </w:r>
    </w:p>
    <w:bookmarkEnd w:id="22"/>
    <w:bookmarkStart w:id="23" w:name="prepared-by"/>
    <w:p>
      <w:pPr>
        <w:pStyle w:val="Heading3"/>
      </w:pPr>
      <w:r>
        <w:t xml:space="preserve">Prepared By</w:t>
      </w:r>
    </w:p>
    <w:p>
      <w:pPr>
        <w:pStyle w:val="FirstParagraph"/>
      </w:pPr>
      <w:r>
        <w:rPr>
          <w:bCs/>
          <w:b/>
        </w:rPr>
        <w:t xml:space="preserve">Ms. Catherine Alvarez, CPA, CGMA</w:t>
      </w:r>
    </w:p>
    <w:p>
      <w:pPr>
        <w:pStyle w:val="BodyText"/>
      </w:pPr>
      <w:r>
        <w:t xml:space="preserve">Lead Accountant, Bayside Accounting &amp; Tax Advisory LLC</w:t>
      </w:r>
    </w:p>
    <w:p>
      <w:pPr>
        <w:pStyle w:val="BodyText"/>
      </w:pPr>
      <w:r>
        <w:t xml:space="preserve">Office: Miami, United States</w:t>
      </w:r>
    </w:p>
    <w:p>
      <w:pPr>
        <w:pStyle w:val="BodyText"/>
      </w:pPr>
      <w:r>
        <w:t xml:space="preserve">Direct: (305) 555-0192</w:t>
      </w:r>
    </w:p>
    <w:p>
      <w:pPr>
        <w:pStyle w:val="BodyText"/>
      </w:pPr>
      <w:r>
        <w:t xml:space="preserve">calvarez@baysideaccounting.com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financial statement preparation and reconciliation for Harborview Hospitality Group, Inc. — General ledger review, balance sheet, income statement, and cash flow statement compilation performed by our senior Accountant team in Miami, United States.</w:t>
            </w:r>
          </w:p>
        </w:tc>
        <w:tc>
          <w:tcPr/>
          <w:p>
            <w:pPr>
              <w:pStyle w:val="Compact"/>
              <w:jc w:val="left"/>
            </w:pPr>
            <w:r>
              <w:t xml:space="preserve">12.5</w:t>
            </w:r>
          </w:p>
        </w:tc>
        <w:tc>
          <w:tcPr/>
          <w:p>
            <w:pPr>
              <w:pStyle w:val="Compact"/>
              <w:jc w:val="left"/>
            </w:pPr>
            <w:r>
              <w:t xml:space="preserve">$185.00</w:t>
            </w:r>
          </w:p>
        </w:tc>
        <w:tc>
          <w:tcPr/>
          <w:p>
            <w:pPr>
              <w:pStyle w:val="Compact"/>
              <w:jc w:val="left"/>
            </w:pPr>
            <w:r>
              <w:t xml:space="preserve">$2,312.50</w:t>
            </w:r>
          </w:p>
        </w:tc>
      </w:tr>
      <w:tr>
        <w:tc>
          <w:tcPr/>
          <w:p>
            <w:pPr>
              <w:pStyle w:val="Compact"/>
              <w:jc w:val="left"/>
            </w:pPr>
            <w:r>
              <w:t xml:space="preserve">2</w:t>
            </w:r>
          </w:p>
        </w:tc>
        <w:tc>
          <w:tcPr/>
          <w:p>
            <w:pPr>
              <w:pStyle w:val="Compact"/>
              <w:jc w:val="left"/>
            </w:pPr>
            <w:r>
              <w:t xml:space="preserve">Payroll processing and compliance review for 47 employees. Includes federal, state (Florida), and local Miami, United States tax withholdings, FICA calculations, and quarterly 941 filing preparation.</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Tax planning and advisory consultation. Strategic tax planning session conducted by our Lead Accountant to optimize corporate tax liability for the fiscal year 2025, including review of Miami, United States municipal tax incentives applicable to hospitality businesses.</w:t>
            </w:r>
          </w:p>
        </w:tc>
        <w:tc>
          <w:tcPr/>
          <w:p>
            <w:pPr>
              <w:pStyle w:val="Compact"/>
              <w:jc w:val="left"/>
            </w:pPr>
            <w:r>
              <w:t xml:space="preserve">6.0</w:t>
            </w:r>
          </w:p>
        </w:tc>
        <w:tc>
          <w:tcPr/>
          <w:p>
            <w:pPr>
              <w:pStyle w:val="Compact"/>
              <w:jc w:val="left"/>
            </w:pPr>
            <w:r>
              <w:t xml:space="preserve">$225.00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Accounts payable and receivable management. Reconciliation of vendor invoices, processing of customer payments, aging report generation, and collection follow-up for outstanding balances exceeding 60 days.</w:t>
            </w:r>
          </w:p>
        </w:tc>
        <w:tc>
          <w:tcPr/>
          <w:p>
            <w:pPr>
              <w:pStyle w:val="Compact"/>
              <w:jc w:val="left"/>
            </w:pPr>
            <w:r>
              <w:t xml:space="preserve">10.0</w:t>
            </w:r>
          </w:p>
        </w:tc>
        <w:tc>
          <w:tcPr/>
          <w:p>
            <w:pPr>
              <w:pStyle w:val="Compact"/>
              <w:jc w:val="left"/>
            </w:pPr>
            <w:r>
              <w:t xml:space="preserve">$155.00</w:t>
            </w:r>
          </w:p>
        </w:tc>
        <w:tc>
          <w:tcPr/>
          <w:p>
            <w:pPr>
              <w:pStyle w:val="Compact"/>
              <w:jc w:val="left"/>
            </w:pPr>
            <w:r>
              <w:t xml:space="preserve">$1,550.00</w:t>
            </w:r>
          </w:p>
        </w:tc>
      </w:tr>
      <w:tr>
        <w:tc>
          <w:tcPr/>
          <w:p>
            <w:pPr>
              <w:pStyle w:val="Compact"/>
              <w:jc w:val="left"/>
            </w:pPr>
            <w:r>
              <w:t xml:space="preserve">5</w:t>
            </w:r>
          </w:p>
        </w:tc>
        <w:tc>
          <w:tcPr/>
          <w:p>
            <w:pPr>
              <w:pStyle w:val="Compact"/>
              <w:jc w:val="left"/>
            </w:pPr>
            <w:r>
              <w:t xml:space="preserve">Internal audit support and compliance review. Quarterly internal control assessment, segregation of duties review, and preparation of compliance documentation in accordance with Florida state regulations and United States federal accounting standards (GAAP).</w:t>
            </w:r>
          </w:p>
        </w:tc>
        <w:tc>
          <w:tcPr/>
          <w:p>
            <w:pPr>
              <w:pStyle w:val="Compact"/>
              <w:jc w:val="left"/>
            </w:pPr>
            <w:r>
              <w:t xml:space="preserve">7.5</w:t>
            </w:r>
          </w:p>
        </w:tc>
        <w:tc>
          <w:tcPr/>
          <w:p>
            <w:pPr>
              <w:pStyle w:val="Compact"/>
              <w:jc w:val="left"/>
            </w:pPr>
            <w:r>
              <w:t xml:space="preserve">$195.00</w:t>
            </w:r>
          </w:p>
        </w:tc>
        <w:tc>
          <w:tcPr/>
          <w:p>
            <w:pPr>
              <w:pStyle w:val="Compact"/>
              <w:jc w:val="left"/>
            </w:pPr>
            <w:r>
              <w:t xml:space="preserve">$1,462.50</w:t>
            </w:r>
          </w:p>
        </w:tc>
      </w:tr>
      <w:tr>
        <w:tc>
          <w:tcPr/>
          <w:p>
            <w:pPr>
              <w:pStyle w:val="Compact"/>
              <w:jc w:val="left"/>
            </w:pPr>
            <w:r>
              <w:t xml:space="preserve">6</w:t>
            </w:r>
          </w:p>
        </w:tc>
        <w:tc>
          <w:tcPr/>
          <w:p>
            <w:pPr>
              <w:pStyle w:val="Compact"/>
              <w:jc w:val="left"/>
            </w:pPr>
            <w:r>
              <w:t xml:space="preserve">Bank reconciliation and cash management advisory. Monthly reconciliation of three commercial bank accounts, identification of discrepancies, and advisory on cash flow optimization strategies tailored to Miami, United States market conditions.</w:t>
            </w:r>
          </w:p>
        </w:tc>
        <w:tc>
          <w:tcPr/>
          <w:p>
            <w:pPr>
              <w:pStyle w:val="Compact"/>
              <w:jc w:val="left"/>
            </w:pPr>
            <w:r>
              <w:t xml:space="preserve">5.0</w:t>
            </w:r>
          </w:p>
        </w:tc>
        <w:tc>
          <w:tcPr/>
          <w:p>
            <w:pPr>
              <w:pStyle w:val="Compact"/>
              <w:jc w:val="left"/>
            </w:pPr>
            <w:r>
              <w:t xml:space="preserve">$175.00</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Client communication and reporting. Preparation of monthly executive summary report, email correspondence with CFO, and scheduling of follow-up meetings. All communications and reporting conducted from our Miami, United States office.</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$9,305.00</w:t>
            </w:r>
          </w:p>
        </w:tc>
      </w:tr>
      <w:tr>
        <w:tc>
          <w:tcPr/>
          <w:p>
            <w:pPr>
              <w:pStyle w:val="Compact"/>
              <w:jc w:val="left"/>
            </w:pPr>
            <w:r>
              <w:t xml:space="preserve">Florida State Sales Tax (7.0%)</w:t>
            </w:r>
          </w:p>
        </w:tc>
        <w:tc>
          <w:tcPr/>
          <w:p>
            <w:pPr>
              <w:pStyle w:val="Compact"/>
              <w:jc w:val="left"/>
            </w:pPr>
            <w:r>
              <w:t xml:space="preserve">$651.35</w:t>
            </w:r>
          </w:p>
        </w:tc>
      </w:tr>
      <w:tr>
        <w:tc>
          <w:tcPr/>
          <w:p>
            <w:pPr>
              <w:pStyle w:val="Compact"/>
              <w:jc w:val="left"/>
            </w:pPr>
            <w:r>
              <w:t xml:space="preserve">Miami-Dade County Surcharge (1.0%)</w:t>
            </w:r>
          </w:p>
        </w:tc>
        <w:tc>
          <w:tcPr/>
          <w:p>
            <w:pPr>
              <w:pStyle w:val="Compact"/>
              <w:jc w:val="left"/>
            </w:pPr>
            <w:r>
              <w:t xml:space="preserve">$93.05</w:t>
            </w:r>
          </w:p>
        </w:tc>
      </w:tr>
      <w:tr>
        <w:tc>
          <w:tcPr/>
          <w:p>
            <w:pPr>
              <w:pStyle w:val="Compact"/>
              <w:jc w:val="left"/>
            </w:pPr>
            <w:r>
              <w:t xml:space="preserve">Discount (Early Payment – 2%)</w:t>
            </w:r>
          </w:p>
        </w:tc>
        <w:tc>
          <w:tcPr/>
          <w:p>
            <w:pPr>
              <w:pStyle w:val="Compact"/>
              <w:jc w:val="left"/>
            </w:pPr>
            <w:r>
              <w:t xml:space="preserve">($186.10)</w:t>
            </w:r>
          </w:p>
        </w:tc>
      </w:tr>
      <w:tr>
        <w:tc>
          <w:tcPr/>
          <w:p>
            <w:pPr>
              <w:pStyle w:val="Compact"/>
              <w:jc w:val="left"/>
            </w:pPr>
            <w:r>
              <w:t xml:space="preserve">Grand Total Due</w:t>
            </w:r>
          </w:p>
        </w:tc>
        <w:tc>
          <w:tcPr/>
          <w:p>
            <w:pPr>
              <w:pStyle w:val="Compact"/>
              <w:jc w:val="left"/>
            </w:pPr>
            <w:r>
              <w:t xml:space="preserve">$9,863.30</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w:t>
      </w:r>
      <w:r>
        <w:t xml:space="preserve"> </w:t>
      </w:r>
      <w:r>
        <w:rPr>
          <w:bCs/>
          <w:b/>
        </w:rPr>
        <w:t xml:space="preserve">July 15, 2025</w:t>
      </w:r>
      <w:r>
        <w:t xml:space="preserve">. Payment may be made via the following methods:</w:t>
      </w:r>
    </w:p>
    <w:p>
      <w:pPr>
        <w:numPr>
          <w:ilvl w:val="0"/>
          <w:numId w:val="1001"/>
        </w:numPr>
        <w:pStyle w:val="Compact"/>
      </w:pPr>
      <w:r>
        <w:rPr>
          <w:bCs/>
          <w:b/>
        </w:rPr>
        <w:t xml:space="preserve">Bank Wire Transfer:</w:t>
      </w:r>
      <w:r>
        <w:t xml:space="preserve"> </w:t>
      </w:r>
      <w:r>
        <w:t xml:space="preserve">First National Bank of Miami, United States | Routing: 021000021 | Account: 4487-2291-003 | Reference: INV-2025-00487</w:t>
      </w:r>
    </w:p>
    <w:p>
      <w:pPr>
        <w:numPr>
          <w:ilvl w:val="0"/>
          <w:numId w:val="1001"/>
        </w:numPr>
        <w:pStyle w:val="Compact"/>
      </w:pPr>
      <w:r>
        <w:rPr>
          <w:bCs/>
          <w:b/>
        </w:rPr>
        <w:t xml:space="preserve">ACH Transfer:</w:t>
      </w:r>
      <w:r>
        <w:t xml:space="preserve"> </w:t>
      </w:r>
      <w:r>
        <w:t xml:space="preserve">Same account details as above. Please allow 3–5 business days for processing.</w:t>
      </w:r>
    </w:p>
    <w:p>
      <w:pPr>
        <w:numPr>
          <w:ilvl w:val="0"/>
          <w:numId w:val="1001"/>
        </w:numPr>
        <w:pStyle w:val="Compact"/>
      </w:pPr>
      <w:r>
        <w:rPr>
          <w:bCs/>
          <w:b/>
        </w:rPr>
        <w:t xml:space="preserve">Check:</w:t>
      </w:r>
      <w:r>
        <w:t xml:space="preserve"> </w:t>
      </w:r>
      <w:r>
        <w:t xml:space="preserve">Made payable to "Bayside Accounting &amp; Tax Advisory LLC" and mailed to our Miami, United States office address listed above.</w:t>
      </w:r>
    </w:p>
    <w:p>
      <w:pPr>
        <w:pStyle w:val="FirstParagraph"/>
      </w:pPr>
      <w:r>
        <w:t xml:space="preserve">A late payment fee of 1.5% per month will be applied to any balance remaining after the due date. This Invoice is governed by the laws of the State of Florida and the United States of America. All disputes shall be resolved through arbitration in Miami-Dade County, Florida.</w:t>
      </w:r>
    </w:p>
    <w:bookmarkEnd w:id="24"/>
    <w:bookmarkStart w:id="25" w:name="additional-notes"/>
    <w:p>
      <w:pPr>
        <w:pStyle w:val="Heading3"/>
      </w:pPr>
      <w:r>
        <w:t xml:space="preserve">Additional Notes</w:t>
      </w:r>
    </w:p>
    <w:p>
      <w:pPr>
        <w:pStyle w:val="FirstParagraph"/>
      </w:pPr>
      <w:r>
        <w:t xml:space="preserve">Dear Mr. Reyes, thank you for entrusting Bayside Accounting &amp; Tax Advisory LLC with your financial management needs this month. Our dedicated Accountant team in Miami, United States has completed all services outlined in this Invoice for the period of May 2025. We are pleased to report that your financial position remains strong, and our tax planning recommendations may reduce your annual corporate tax liability by an estimated 12–15%.</w:t>
      </w:r>
    </w:p>
    <w:p>
      <w:pPr>
        <w:pStyle w:val="BodyText"/>
      </w:pPr>
      <w:r>
        <w:t xml:space="preserve">Please note that this Invoice covers professional services only. Any third-party filing fees, government processing charges, or expedited service costs incurred on your behalf will be itemized on a separate Invoice. Should you have any questions regarding any line item on this Invoice, please do not hesitate to contact our Lead Accountant, Ms. Catherine Alvarez, directly at (305) 555-0192 or via email.</w:t>
      </w:r>
    </w:p>
    <w:p>
      <w:pPr>
        <w:pStyle w:val="BodyText"/>
      </w:pPr>
      <w:r>
        <w:t xml:space="preserve">We look forward to continuing our professional relationship and providing you with the highest standard of accounting and tax advisory services in the Miami, United States region.</w:t>
      </w:r>
    </w:p>
    <w:bookmarkEnd w:id="25"/>
    <w:p>
      <w:pPr>
        <w:pStyle w:val="BodyText"/>
      </w:pPr>
      <w:r>
        <w:t xml:space="preserve">Thank you for your business. We appreciate the opportunity to serve you as your trusted Accountant in Miami, United States.</w:t>
      </w:r>
    </w:p>
    <w:p>
      <w:pPr>
        <w:pStyle w:val="BodyText"/>
      </w:pPr>
      <w:r>
        <w:rPr>
          <w:bCs/>
          <w:b/>
        </w:rPr>
        <w:t xml:space="preserve">Bayside Accounting &amp; Tax Advisory LLC</w:t>
      </w:r>
      <w:r>
        <w:t xml:space="preserve"> </w:t>
      </w:r>
      <w:r>
        <w:t xml:space="preserve">— A Florida Limited Liability Company</w:t>
      </w:r>
    </w:p>
    <w:p>
      <w:pPr>
        <w:pStyle w:val="BodyText"/>
      </w:pPr>
      <w:r>
        <w:t xml:space="preserve">1200 Brickell Avenue, Suite 2450, Miami, Florida 33131, United States</w:t>
      </w:r>
    </w:p>
    <w:p>
      <w:pPr>
        <w:pStyle w:val="BodyText"/>
      </w:pPr>
      <w:r>
        <w:t xml:space="preserve">Florida CPA License No. 148723 | Florida Business License No. FL-2019-884721 | EIN: 82-4471903</w:t>
      </w:r>
    </w:p>
    <w:p>
      <w:pPr>
        <w:pStyle w:val="BodyText"/>
      </w:pPr>
      <w:r>
        <w:t xml:space="preserve">This Invoice was generated electronically and is valid without a physical signature. For questions, contact billing@baysideaccounting.com.</w:t>
      </w:r>
    </w:p>
    <w:p>
      <w:pPr>
        <w:pStyle w:val="BodyText"/>
      </w:pPr>
      <w:r>
        <w:t xml:space="preserve">© 2025 Bayside Accounting &amp; Tax Advisory LLC.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Miami, United States</dc:title>
  <dc:creator/>
  <dc:language>en</dc:language>
  <cp:keywords/>
  <dcterms:created xsi:type="dcterms:W3CDTF">2026-10-10T07:02:12Z</dcterms:created>
  <dcterms:modified xsi:type="dcterms:W3CDTF">2026-10-10T07:02:12Z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