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Professional Actor Services — Kuwait Kuwait City</w:t>
      </w:r>
    </w:p>
    <w:p>
      <w:pPr>
        <w:pStyle w:val="BodyText"/>
      </w:pPr>
      <w:r>
        <w:t xml:space="preserve">PAID — CONFIRMED</w:t>
      </w:r>
    </w:p>
    <w:bookmarkStart w:id="20" w:name="invoice-details"/>
    <w:p>
      <w:pPr>
        <w:pStyle w:val="Heading3"/>
      </w:pPr>
      <w:r>
        <w:t xml:space="preserve">Invoice Details</w:t>
      </w:r>
    </w:p>
    <w:p>
      <w:pPr>
        <w:pStyle w:val="FirstParagraph"/>
      </w:pPr>
      <w:r>
        <w:rPr>
          <w:bCs/>
          <w:b/>
        </w:rPr>
        <w:t xml:space="preserve">Invoice No.:</w:t>
      </w:r>
      <w:r>
        <w:t xml:space="preserve"> </w:t>
      </w:r>
      <w:r>
        <w:t xml:space="preserve">KWT-ACT-2025-0472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Kuwaiti Dinar (KWD)</w:t>
      </w:r>
    </w:p>
    <w:bookmarkEnd w:id="20"/>
    <w:bookmarkStart w:id="21" w:name="billed-to"/>
    <w:p>
      <w:pPr>
        <w:pStyle w:val="Heading4"/>
      </w:pPr>
      <w:r>
        <w:t xml:space="preserve">Billed To</w:t>
      </w:r>
    </w:p>
    <w:p>
      <w:pPr>
        <w:pStyle w:val="FirstParagraph"/>
      </w:pPr>
      <w:r>
        <w:t xml:space="preserve">Al-Nakheel Entertainment Productions LLC</w:t>
      </w:r>
    </w:p>
    <w:p>
      <w:pPr>
        <w:pStyle w:val="BodyText"/>
      </w:pPr>
      <w:r>
        <w:t xml:space="preserve">Attn: Mr. Faisal Al-Sabah, Production Director</w:t>
      </w:r>
    </w:p>
    <w:p>
      <w:pPr>
        <w:pStyle w:val="BodyText"/>
      </w:pPr>
      <w:r>
        <w:t xml:space="preserve">Building 42, Block 2, Salmiya District</w:t>
      </w:r>
    </w:p>
    <w:p>
      <w:pPr>
        <w:pStyle w:val="BodyText"/>
      </w:pPr>
      <w:r>
        <w:t xml:space="preserve">Kuwait Kuwait City, P.O. Box 1847, Safat 13001</w:t>
      </w:r>
    </w:p>
    <w:p>
      <w:pPr>
        <w:pStyle w:val="BodyText"/>
      </w:pPr>
      <w:r>
        <w:t xml:space="preserve">Kuwait</w:t>
      </w:r>
    </w:p>
    <w:p>
      <w:pPr>
        <w:pStyle w:val="BodyText"/>
      </w:pPr>
      <w:r>
        <w:t xml:space="preserve">Tax Registration No.: TR-2019-44821</w:t>
      </w:r>
    </w:p>
    <w:p>
      <w:pPr>
        <w:pStyle w:val="BodyText"/>
      </w:pPr>
      <w:r>
        <w:t xml:space="preserve">Email: productions@alnakheel-ent.kw</w:t>
      </w:r>
    </w:p>
    <w:bookmarkEnd w:id="21"/>
    <w:bookmarkStart w:id="22" w:name="service-provider-actor"/>
    <w:p>
      <w:pPr>
        <w:pStyle w:val="Heading4"/>
      </w:pPr>
      <w:r>
        <w:t xml:space="preserve">Service Provider (Actor)</w:t>
      </w:r>
    </w:p>
    <w:p>
      <w:pPr>
        <w:pStyle w:val="FirstParagraph"/>
      </w:pPr>
      <w:r>
        <w:t xml:space="preserve">Daniel R. Whitmore — Lead Actor</w:t>
      </w:r>
    </w:p>
    <w:p>
      <w:pPr>
        <w:pStyle w:val="BodyText"/>
      </w:pPr>
      <w:r>
        <w:t xml:space="preserve">Independent Performing Artist</w:t>
      </w:r>
    </w:p>
    <w:p>
      <w:pPr>
        <w:pStyle w:val="BodyText"/>
      </w:pPr>
      <w:r>
        <w:t xml:space="preserve">Represented by: Gulf Talent Casting Agency</w:t>
      </w:r>
    </w:p>
    <w:p>
      <w:pPr>
        <w:pStyle w:val="BodyText"/>
      </w:pPr>
      <w:r>
        <w:t xml:space="preserve">Office 12, Marina Towers, The Avenues</w:t>
      </w:r>
    </w:p>
    <w:p>
      <w:pPr>
        <w:pStyle w:val="BodyText"/>
      </w:pPr>
      <w:r>
        <w:t xml:space="preserve">Kuwait Kuwait City, P.O. Box 992, Salmiya 13001</w:t>
      </w:r>
    </w:p>
    <w:p>
      <w:pPr>
        <w:pStyle w:val="BodyText"/>
      </w:pPr>
      <w:r>
        <w:t xml:space="preserve">Kuwait</w:t>
      </w:r>
    </w:p>
    <w:p>
      <w:pPr>
        <w:pStyle w:val="BodyText"/>
      </w:pPr>
      <w:r>
        <w:t xml:space="preserve">Artist License No.: KWT-ART-2024-00318</w:t>
      </w:r>
    </w:p>
    <w:p>
      <w:pPr>
        <w:pStyle w:val="BodyText"/>
      </w:pPr>
      <w:r>
        <w:t xml:space="preserve">Email: d.whitmore@performingarts.kw</w:t>
      </w:r>
    </w:p>
    <w:bookmarkEnd w:id="22"/>
    <w:bookmarkStart w:id="24" w:name="description-of-services-rendered"/>
    <w:p>
      <w:pPr>
        <w:pStyle w:val="Heading3"/>
      </w:pPr>
      <w:r>
        <w:t xml:space="preserve">Description of Services Rendered</w:t>
      </w:r>
    </w:p>
    <w:p>
      <w:pPr>
        <w:pStyle w:val="FirstParagraph"/>
      </w:pPr>
      <w:r>
        <w:t xml:space="preserve">This Invoice is issued in accordance with the Service Agreement dated 01 June 2025 between the undersigned Actor and Al-Nakheel Entertainment Productions LLC for the performance of principal acting duties in the feature film</w:t>
      </w:r>
      <w:r>
        <w:t xml:space="preserve"> </w:t>
      </w:r>
      <w:r>
        <w:rPr>
          <w:iCs/>
          <w:i/>
        </w:rPr>
        <w:t xml:space="preserve">"Desert Horizon"</w:t>
      </w:r>
      <w:r>
        <w:t xml:space="preserve">, to be filmed across multiple locations in Kuwait Kuwait City during the period of 02 June 2025 through 14 June 2025. All services were performed in full compliance with Kuwaiti entertainment regulations and the terms stipulated in the executed contract.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Principal Actor — Lead Role Performance (On-Set Filming, Scenes 1–48)</w:t>
            </w:r>
          </w:p>
        </w:tc>
        <w:tc>
          <w:tcPr/>
          <w:p>
            <w:pPr>
              <w:pStyle w:val="Compact"/>
              <w:jc w:val="left"/>
            </w:pPr>
            <w:r>
              <w:t xml:space="preserve">02–06 Jun 2025</w:t>
            </w:r>
          </w:p>
        </w:tc>
        <w:tc>
          <w:tcPr/>
          <w:p>
            <w:pPr>
              <w:pStyle w:val="Compact"/>
              <w:jc w:val="left"/>
            </w:pPr>
            <w:r>
              <w:t xml:space="preserve">120</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Principal Actor — Lead Role Performance (On-Set Filming, Scenes 49–92)</w:t>
            </w:r>
          </w:p>
        </w:tc>
        <w:tc>
          <w:tcPr/>
          <w:p>
            <w:pPr>
              <w:pStyle w:val="Compact"/>
              <w:jc w:val="left"/>
            </w:pPr>
            <w:r>
              <w:t xml:space="preserve">07–11 Jun 2025</w:t>
            </w:r>
          </w:p>
        </w:tc>
        <w:tc>
          <w:tcPr/>
          <w:p>
            <w:pPr>
              <w:pStyle w:val="Compact"/>
              <w:jc w:val="left"/>
            </w:pPr>
            <w:r>
              <w:t xml:space="preserve">110</w:t>
            </w:r>
          </w:p>
        </w:tc>
        <w:tc>
          <w:tcPr/>
          <w:p>
            <w:pPr>
              <w:pStyle w:val="Compact"/>
              <w:jc w:val="left"/>
            </w:pPr>
            <w:r>
              <w:t xml:space="preserve">18.50</w:t>
            </w:r>
          </w:p>
        </w:tc>
        <w:tc>
          <w:tcPr/>
          <w:p>
            <w:pPr>
              <w:pStyle w:val="Compact"/>
              <w:jc w:val="left"/>
            </w:pPr>
            <w:r>
              <w:t xml:space="preserve">2,035.00</w:t>
            </w:r>
          </w:p>
        </w:tc>
      </w:tr>
      <w:tr>
        <w:tc>
          <w:tcPr/>
          <w:p>
            <w:pPr>
              <w:pStyle w:val="Compact"/>
              <w:jc w:val="left"/>
            </w:pPr>
            <w:r>
              <w:t xml:space="preserve">3</w:t>
            </w:r>
          </w:p>
        </w:tc>
        <w:tc>
          <w:tcPr/>
          <w:p>
            <w:pPr>
              <w:pStyle w:val="Compact"/>
              <w:jc w:val="left"/>
            </w:pPr>
            <w:r>
              <w:t xml:space="preserve">Voice-Over Recording &amp; ADR Sessions (Studio, Kuwait Kuwait City)</w:t>
            </w:r>
          </w:p>
        </w:tc>
        <w:tc>
          <w:tcPr/>
          <w:p>
            <w:pPr>
              <w:pStyle w:val="Compact"/>
              <w:jc w:val="left"/>
            </w:pPr>
            <w:r>
              <w:t xml:space="preserve">12 Jun 2025</w:t>
            </w:r>
          </w:p>
        </w:tc>
        <w:tc>
          <w:tcPr/>
          <w:p>
            <w:pPr>
              <w:pStyle w:val="Compact"/>
              <w:jc w:val="left"/>
            </w:pPr>
            <w:r>
              <w:t xml:space="preserve">12</w:t>
            </w:r>
          </w:p>
        </w:tc>
        <w:tc>
          <w:tcPr/>
          <w:p>
            <w:pPr>
              <w:pStyle w:val="Compact"/>
              <w:jc w:val="left"/>
            </w:pPr>
            <w:r>
              <w:t xml:space="preserve">22.00</w:t>
            </w:r>
          </w:p>
        </w:tc>
        <w:tc>
          <w:tcPr/>
          <w:p>
            <w:pPr>
              <w:pStyle w:val="Compact"/>
              <w:jc w:val="left"/>
            </w:pPr>
            <w:r>
              <w:t xml:space="preserve">264.00</w:t>
            </w:r>
          </w:p>
        </w:tc>
      </w:tr>
      <w:tr>
        <w:tc>
          <w:tcPr/>
          <w:p>
            <w:pPr>
              <w:pStyle w:val="Compact"/>
              <w:jc w:val="left"/>
            </w:pPr>
            <w:r>
              <w:t xml:space="preserve">4</w:t>
            </w:r>
          </w:p>
        </w:tc>
        <w:tc>
          <w:tcPr/>
          <w:p>
            <w:pPr>
              <w:pStyle w:val="Compact"/>
              <w:jc w:val="left"/>
            </w:pPr>
            <w:r>
              <w:t xml:space="preserve">Character Preparation, Script Rehearsals &amp; Table Reads</w:t>
            </w:r>
          </w:p>
        </w:tc>
        <w:tc>
          <w:tcPr/>
          <w:p>
            <w:pPr>
              <w:pStyle w:val="Compact"/>
              <w:jc w:val="left"/>
            </w:pPr>
            <w:r>
              <w:t xml:space="preserve">01 Jun 2025</w:t>
            </w:r>
          </w:p>
        </w:tc>
        <w:tc>
          <w:tcPr/>
          <w:p>
            <w:pPr>
              <w:pStyle w:val="Compact"/>
              <w:jc w:val="left"/>
            </w:pPr>
            <w:r>
              <w:t xml:space="preserve">8</w:t>
            </w:r>
          </w:p>
        </w:tc>
        <w:tc>
          <w:tcPr/>
          <w:p>
            <w:pPr>
              <w:pStyle w:val="Compact"/>
              <w:jc w:val="left"/>
            </w:pPr>
            <w:r>
              <w:t xml:space="preserve">15.00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Publicity &amp; Press Appearances (Kuwait Kuwait City Media Event)</w:t>
            </w:r>
          </w:p>
        </w:tc>
        <w:tc>
          <w:tcPr/>
          <w:p>
            <w:pPr>
              <w:pStyle w:val="Compact"/>
              <w:jc w:val="left"/>
            </w:pPr>
            <w:r>
              <w:t xml:space="preserve">13 Jun 2025</w:t>
            </w:r>
          </w:p>
        </w:tc>
        <w:tc>
          <w:tcPr/>
          <w:p>
            <w:pPr>
              <w:pStyle w:val="Compact"/>
              <w:jc w:val="left"/>
            </w:pPr>
            <w:r>
              <w:t xml:space="preserve">4</w:t>
            </w:r>
          </w:p>
        </w:tc>
        <w:tc>
          <w:tcPr/>
          <w:p>
            <w:pPr>
              <w:pStyle w:val="Compact"/>
              <w:jc w:val="left"/>
            </w:pPr>
            <w:r>
              <w:t xml:space="preserve">25.00</w:t>
            </w:r>
          </w:p>
        </w:tc>
        <w:tc>
          <w:tcPr/>
          <w:p>
            <w:pPr>
              <w:pStyle w:val="Compact"/>
              <w:jc w:val="left"/>
            </w:pPr>
            <w:r>
              <w:t xml:space="preserve">100.00</w:t>
            </w:r>
          </w:p>
        </w:tc>
      </w:tr>
      <w:tr>
        <w:tc>
          <w:tcPr/>
          <w:p>
            <w:pPr>
              <w:pStyle w:val="Compact"/>
              <w:jc w:val="left"/>
            </w:pPr>
            <w:r>
              <w:t xml:space="preserve">6</w:t>
            </w:r>
          </w:p>
        </w:tc>
        <w:tc>
          <w:tcPr/>
          <w:p>
            <w:pPr>
              <w:pStyle w:val="Compact"/>
              <w:jc w:val="left"/>
            </w:pPr>
            <w:r>
              <w:t xml:space="preserve">Wardrobe Fittings, Costume Consultation &amp; On-Set Styling Support</w:t>
            </w:r>
          </w:p>
        </w:tc>
        <w:tc>
          <w:tcPr/>
          <w:p>
            <w:pPr>
              <w:pStyle w:val="Compact"/>
              <w:jc w:val="left"/>
            </w:pPr>
            <w:r>
              <w:t xml:space="preserve">03, 08 Jun 2025</w:t>
            </w:r>
          </w:p>
        </w:tc>
        <w:tc>
          <w:tcPr/>
          <w:p>
            <w:pPr>
              <w:pStyle w:val="Compact"/>
              <w:jc w:val="left"/>
            </w:pPr>
            <w:r>
              <w:t xml:space="preserve">6</w:t>
            </w:r>
          </w:p>
        </w:tc>
        <w:tc>
          <w:tcPr/>
          <w:p>
            <w:pPr>
              <w:pStyle w:val="Compact"/>
              <w:jc w:val="left"/>
            </w:pPr>
            <w:r>
              <w:t xml:space="preserve">12.00</w:t>
            </w:r>
          </w:p>
        </w:tc>
        <w:tc>
          <w:tcPr/>
          <w:p>
            <w:pPr>
              <w:pStyle w:val="Compact"/>
              <w:jc w:val="left"/>
            </w:pPr>
            <w:r>
              <w:t xml:space="preserve">72.00</w:t>
            </w:r>
          </w:p>
        </w:tc>
      </w:tr>
      <w:tr>
        <w:tc>
          <w:tcPr/>
          <w:p>
            <w:pPr>
              <w:pStyle w:val="Compact"/>
              <w:jc w:val="left"/>
            </w:pPr>
            <w:r>
              <w:t xml:space="preserve">7</w:t>
            </w:r>
          </w:p>
        </w:tc>
        <w:tc>
          <w:tcPr/>
          <w:p>
            <w:pPr>
              <w:pStyle w:val="Compact"/>
              <w:jc w:val="left"/>
            </w:pPr>
            <w:r>
              <w:t xml:space="preserve">Travel &amp; Accommodation Reimbursement (Kuwait Kuwait City, 14 nights)</w:t>
            </w:r>
          </w:p>
        </w:tc>
        <w:tc>
          <w:tcPr/>
          <w:p>
            <w:pPr>
              <w:pStyle w:val="Compact"/>
              <w:jc w:val="left"/>
            </w:pPr>
            <w:r>
              <w:t xml:space="preserve">01–14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1,450.00</w:t>
            </w:r>
          </w:p>
        </w:tc>
      </w:tr>
      <w:tr>
        <w:tc>
          <w:tcPr/>
          <w:p>
            <w:pPr>
              <w:pStyle w:val="Compact"/>
              <w:jc w:val="left"/>
            </w:pPr>
            <w:r>
              <w:t xml:space="preserve">8</w:t>
            </w:r>
          </w:p>
        </w:tc>
        <w:tc>
          <w:tcPr/>
          <w:p>
            <w:pPr>
              <w:pStyle w:val="Compact"/>
              <w:jc w:val="left"/>
            </w:pPr>
            <w:r>
              <w:t xml:space="preserve">Performance Bond &amp; Insurance Premium (Kuwaiti Regulatory Requirement)</w:t>
            </w:r>
          </w:p>
        </w:tc>
        <w:tc>
          <w:tcPr/>
          <w:p>
            <w:pPr>
              <w:pStyle w:val="Compact"/>
              <w:jc w:val="left"/>
            </w:pPr>
            <w:r>
              <w:t xml:space="preserve">01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6,641.00 KWD</w:t>
            </w:r>
          </w:p>
        </w:tc>
      </w:tr>
      <w:tr>
        <w:tc>
          <w:tcPr/>
          <w:p>
            <w:pPr>
              <w:pStyle w:val="Compact"/>
              <w:jc w:val="left"/>
            </w:pPr>
            <w:r>
              <w:t xml:space="preserve">VAT (5% — Kuwait Standard Rate)</w:t>
            </w:r>
          </w:p>
        </w:tc>
        <w:tc>
          <w:tcPr/>
          <w:p>
            <w:pPr>
              <w:pStyle w:val="Compact"/>
              <w:jc w:val="right"/>
            </w:pPr>
            <w:r>
              <w:t xml:space="preserve">332.05 KWD</w:t>
            </w:r>
          </w:p>
        </w:tc>
      </w:tr>
      <w:tr>
        <w:tc>
          <w:tcPr/>
          <w:p>
            <w:pPr>
              <w:pStyle w:val="Compact"/>
              <w:jc w:val="left"/>
            </w:pPr>
            <w:r>
              <w:t xml:space="preserve">Withholding Tax (10% — Non-Resident Artist)</w:t>
            </w:r>
          </w:p>
        </w:tc>
        <w:tc>
          <w:tcPr/>
          <w:p>
            <w:pPr>
              <w:pStyle w:val="Compact"/>
              <w:jc w:val="right"/>
            </w:pPr>
            <w:r>
              <w:t xml:space="preserve">(664.10) KWD</w:t>
            </w:r>
          </w:p>
        </w:tc>
      </w:tr>
      <w:tr>
        <w:tc>
          <w:tcPr/>
          <w:p>
            <w:pPr>
              <w:pStyle w:val="Compact"/>
              <w:jc w:val="left"/>
            </w:pPr>
            <w:r>
              <w:t xml:space="preserve">Net Amount Due</w:t>
            </w:r>
          </w:p>
        </w:tc>
        <w:tc>
          <w:tcPr/>
          <w:p>
            <w:pPr>
              <w:pStyle w:val="Compact"/>
              <w:jc w:val="right"/>
            </w:pPr>
            <w:r>
              <w:t xml:space="preserve">6,308.95 KWD</w:t>
            </w:r>
          </w:p>
        </w:tc>
      </w:tr>
    </w:tbl>
    <w:bookmarkStart w:id="23" w:name="terms-conditions-payment-instructions"/>
    <w:p>
      <w:pPr>
        <w:pStyle w:val="Heading4"/>
      </w:pPr>
      <w:r>
        <w:t xml:space="preserve">Terms, Conditions &amp; Payment Instructions</w:t>
      </w:r>
    </w:p>
    <w:p>
      <w:pPr>
        <w:pStyle w:val="FirstParagraph"/>
      </w:pPr>
      <w:r>
        <w:rPr>
          <w:bCs/>
          <w:b/>
        </w:rPr>
        <w:t xml:space="preserve">1.</w:t>
      </w:r>
      <w:r>
        <w:t xml:space="preserve"> </w:t>
      </w:r>
      <w:r>
        <w:t xml:space="preserve">This Invoice must be settled in full within fifteen (15) calendar days of the issue date, no later than 30 June 2025. Late payments shall accrue interest at a rate of 1.5% per month as stipulated under Kuwaiti commercial law.</w:t>
      </w:r>
    </w:p>
    <w:p>
      <w:pPr>
        <w:pStyle w:val="BodyText"/>
      </w:pPr>
      <w:r>
        <w:rPr>
          <w:bCs/>
          <w:b/>
        </w:rPr>
        <w:t xml:space="preserve">2.</w:t>
      </w:r>
      <w:r>
        <w:t xml:space="preserve"> </w:t>
      </w:r>
      <w:r>
        <w:t xml:space="preserve">Payment shall be made via bank transfer to the following account: Gulf Talent Casting Agency, Bank of Kuwait, Branch: Salmiya, Account No.: 0012-4487-2210, SWIFT: BKWKKWKW. Please reference Invoice No. KWT-ACT-2025-0472 in the transfer memo.</w:t>
      </w:r>
    </w:p>
    <w:p>
      <w:pPr>
        <w:pStyle w:val="BodyText"/>
      </w:pPr>
      <w:r>
        <w:rPr>
          <w:bCs/>
          <w:b/>
        </w:rPr>
        <w:t xml:space="preserve">3.</w:t>
      </w:r>
      <w:r>
        <w:t xml:space="preserve"> </w:t>
      </w:r>
      <w:r>
        <w:t xml:space="preserve">The Actor, Daniel R. Whitmore, confirms that all performance services listed in this Invoice were executed in Kuwait Kuwait City and comply with the Kuwait Authority for Media Regulation (KAMR) guidelines for foreign performing artists. The Artist License referenced above was valid for the entire engagement period.</w:t>
      </w:r>
    </w:p>
    <w:p>
      <w:pPr>
        <w:pStyle w:val="BodyText"/>
      </w:pPr>
      <w:r>
        <w:rPr>
          <w:bCs/>
          <w:b/>
        </w:rPr>
        <w:t xml:space="preserve">4.</w:t>
      </w:r>
      <w:r>
        <w:t xml:space="preserve"> </w:t>
      </w:r>
      <w:r>
        <w:t xml:space="preserve">The withholding tax deduction of 10% has been applied in accordance with Article 42 of the Kuwaiti Income Tax Law regarding non-resident entertainers. A tax certificate will be issued by the production company upon final settlement of this Invoice.</w:t>
      </w:r>
    </w:p>
    <w:p>
      <w:pPr>
        <w:pStyle w:val="BodyText"/>
      </w:pPr>
      <w:r>
        <w:rPr>
          <w:bCs/>
          <w:b/>
        </w:rPr>
        <w:t xml:space="preserve">5.</w:t>
      </w:r>
      <w:r>
        <w:t xml:space="preserve"> </w:t>
      </w:r>
      <w:r>
        <w:t xml:space="preserve">Any disputes arising from this Invoice shall be governed by the laws of the State of Kuwait and shall be subject to the exclusive jurisdiction of the courts of Kuwait Kuwait City. Both parties agree to attempt mediation through the Kuwait Chamber of Commerce prior to initiating any legal proceedings.</w:t>
      </w:r>
    </w:p>
    <w:p>
      <w:pPr>
        <w:pStyle w:val="BodyText"/>
      </w:pPr>
      <w:r>
        <w:rPr>
          <w:bCs/>
          <w:b/>
        </w:rPr>
        <w:t xml:space="preserve">6.</w:t>
      </w:r>
      <w:r>
        <w:t xml:space="preserve"> </w:t>
      </w:r>
      <w:r>
        <w:t xml:space="preserve">This Invoice constitutes the final and complete statement of all charges for the Actor's services during the engagement period. No additional fees, expenses, or compensation shall be claimed beyond the amounts specified herein unless a written amendment to the Service Agreement is executed by both parties.</w:t>
      </w:r>
    </w:p>
    <w:p>
      <w:pPr>
        <w:pStyle w:val="BodyText"/>
      </w:pPr>
      <w:r>
        <w:rPr>
          <w:bCs/>
          <w:b/>
        </w:rPr>
        <w:t xml:space="preserve">7.</w:t>
      </w:r>
      <w:r>
        <w:t xml:space="preserve"> </w:t>
      </w:r>
      <w:r>
        <w:t xml:space="preserve">The production company retains all intellectual property rights, including but not limited to the right of publicity, image, and voice recordings, generated during the filming period in Kuwait Kuwait City, as per the exclusive license granted in Section 14 of the Service Agreement.</w:t>
      </w:r>
    </w:p>
    <w:bookmarkEnd w:id="23"/>
    <w:p>
      <w:pPr>
        <w:pStyle w:val="BodyText"/>
      </w:pPr>
      <w:r>
        <w:t xml:space="preserve">This Invoice was generated electronically and is valid without a physical signature in accordance with Kuwaiti Electronic Transactions Law (Law No. 30 of 2014).</w:t>
      </w:r>
    </w:p>
    <w:p>
      <w:pPr>
        <w:pStyle w:val="BodyText"/>
      </w:pPr>
      <w:r>
        <w:t xml:space="preserve">For queries regarding this Invoice, please contact: billing@alnakheel-ent.kw | +965 2244 8890</w:t>
      </w:r>
    </w:p>
    <w:p>
      <w:pPr>
        <w:pStyle w:val="BodyText"/>
      </w:pPr>
      <w:r>
        <w:t xml:space="preserve">© 2025 Al-Nakheel Entertainment Productions LLC — Kuwait Kuwait City.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Kuwait Kuwait City</dc:title>
  <dc:creator/>
  <dc:language>en</dc:language>
  <cp:keywords/>
  <dcterms:created xsi:type="dcterms:W3CDTF">2026-10-10T03:12:16Z</dcterms:created>
  <dcterms:modified xsi:type="dcterms:W3CDTF">2026-10-10T03:12:16Z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