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aerotech-solutions-s.a."/>
    <w:p>
      <w:pPr>
        <w:pStyle w:val="Heading1"/>
      </w:pPr>
      <w:r>
        <w:t xml:space="preserve">AeroTech Solutions S.A.</w:t>
      </w:r>
    </w:p>
    <w:p>
      <w:pPr>
        <w:pStyle w:val="FirstParagraph"/>
      </w:pPr>
      <w:r>
        <w:rPr>
          <w:bCs/>
          <w:b/>
        </w:rPr>
        <w:t xml:space="preserve">Specialized Aerospace Engineering Consultancy</w:t>
      </w:r>
    </w:p>
    <w:p>
      <w:pPr>
        <w:pStyle w:val="BodyText"/>
      </w:pPr>
      <w:r>
        <w:t xml:space="preserve">Av. Corrientes 1234, Piso 8, Of. B</w:t>
      </w:r>
    </w:p>
    <w:p>
      <w:pPr>
        <w:pStyle w:val="BodyText"/>
      </w:pPr>
      <w:r>
        <w:t xml:space="preserve">C1043AAZ Buenos Aires, Argentina</w:t>
      </w:r>
    </w:p>
    <w:p>
      <w:pPr>
        <w:pStyle w:val="BodyText"/>
      </w:pPr>
      <w:r>
        <w:t xml:space="preserve">CUIT: 30-71234567-8</w:t>
      </w:r>
    </w:p>
    <w:p>
      <w:pPr>
        <w:pStyle w:val="BodyText"/>
      </w:pPr>
      <w:r>
        <w:t xml:space="preserve">Email: billing@aerotech-solutions.ar</w:t>
      </w:r>
    </w:p>
    <w:p>
      <w:pPr>
        <w:pStyle w:val="BodyText"/>
      </w:pPr>
      <w:r>
        <w:t xml:space="preserve">Phone: +54 11 4567-8900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Stratosphere Aviation Industries</w:t>
      </w:r>
    </w:p>
    <w:p>
      <w:pPr>
        <w:pStyle w:val="BodyText"/>
      </w:pPr>
      <w:r>
        <w:t xml:space="preserve">Attn: Procurement Department</w:t>
      </w:r>
    </w:p>
    <w:p>
      <w:pPr>
        <w:pStyle w:val="BodyText"/>
      </w:pPr>
      <w:r>
        <w:t xml:space="preserve">Av. Libertador 5678</w:t>
      </w:r>
    </w:p>
    <w:p>
      <w:pPr>
        <w:pStyle w:val="BodyText"/>
      </w:pPr>
      <w:r>
        <w:t xml:space="preserve">C1425 Buenos Aires, Argentina</w:t>
      </w:r>
    </w:p>
    <w:p>
      <w:pPr>
        <w:pStyle w:val="BodyText"/>
      </w:pPr>
      <w:r>
        <w:t xml:space="preserve">CUIT: 30-69876543-2</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Structural Integrity Analysis for Regional Jet</w:t>
      </w:r>
    </w:p>
    <w:p>
      <w:pPr>
        <w:pStyle w:val="BodyText"/>
      </w:pPr>
      <w:r>
        <w:rPr>
          <w:bCs/>
          <w:b/>
        </w:rPr>
        <w:t xml:space="preserve">Location:</w:t>
      </w:r>
      <w:r>
        <w:t xml:space="preserve"> </w:t>
      </w:r>
      <w:r>
        <w:t xml:space="preserve">Buenos Aires Aerospace Hub</w:t>
      </w:r>
    </w:p>
    <w:p>
      <w:pPr>
        <w:pStyle w:val="BodyText"/>
      </w:pPr>
      <w:r>
        <w:rPr>
          <w:bCs/>
          <w:b/>
        </w:rPr>
        <w:t xml:space="preserve">Contract ID:</w:t>
      </w:r>
      <w:r>
        <w:t xml:space="preserve"> </w:t>
      </w:r>
      <w:r>
        <w:t xml:space="preserve">SA-ARG-2023-XJ</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 / Qty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IVA (21%)</w:t>
            </w:r>
          </w:p>
        </w:tc>
      </w:tr>
      <w:tr>
        <w:tc>
          <w:tcPr/>
          <w:p>
            <w:pPr>
              <w:pStyle w:val="Compact"/>
              <w:jc w:val="left"/>
            </w:pPr>
            <w:r>
              <w:t xml:space="preserve">1</w:t>
            </w:r>
          </w:p>
        </w:tc>
        <w:tc>
          <w:tcPr/>
          <w:p>
            <w:pPr>
              <w:pStyle w:val="Compact"/>
              <w:jc w:val="left"/>
            </w:pPr>
            <w:r>
              <w:rPr>
                <w:bCs/>
                <w:b/>
              </w:rPr>
              <w:t xml:space="preserve">Senior Aerospace Engineer Consultation:</w:t>
            </w:r>
            <w:r>
              <w:t xml:space="preserve"> </w:t>
            </w:r>
            <w:r>
              <w:t xml:space="preserve">Comprehensive aerodynamic analysis and computational fluid dynamics (CFD) simulation for winglet optimization. Services rendered in accordance with Argentine aviation standards and international ISO 9001 protocols.</w:t>
            </w:r>
          </w:p>
        </w:tc>
        <w:tc>
          <w:tcPr/>
          <w:p>
            <w:pPr>
              <w:pStyle w:val="Compact"/>
              <w:jc w:val="left"/>
            </w:pPr>
            <w:r>
              <w:t xml:space="preserve">40.0</w:t>
            </w:r>
          </w:p>
        </w:tc>
        <w:tc>
          <w:tcPr/>
          <w:p>
            <w:pPr>
              <w:pStyle w:val="Compact"/>
              <w:jc w:val="left"/>
            </w:pPr>
            <w:r>
              <w:t xml:space="preserve">150.00</w:t>
            </w:r>
          </w:p>
        </w:tc>
        <w:tc>
          <w:tcPr/>
          <w:p>
            <w:pPr>
              <w:pStyle w:val="Compact"/>
              <w:jc w:val="left"/>
            </w:pPr>
            <w:r>
              <w:t xml:space="preserve">6,000.00</w:t>
            </w:r>
          </w:p>
        </w:tc>
        <w:tc>
          <w:tcPr/>
          <w:p>
            <w:pPr>
              <w:pStyle w:val="Compact"/>
              <w:jc w:val="left"/>
            </w:pPr>
            <w:r>
              <w:t xml:space="preserve">1,260.00</w:t>
            </w:r>
          </w:p>
        </w:tc>
      </w:tr>
      <w:tr>
        <w:tc>
          <w:tcPr/>
          <w:p>
            <w:pPr>
              <w:pStyle w:val="Compact"/>
              <w:jc w:val="left"/>
            </w:pPr>
            <w:r>
              <w:t xml:space="preserve">2</w:t>
            </w:r>
          </w:p>
        </w:tc>
        <w:tc>
          <w:tcPr/>
          <w:p>
            <w:pPr>
              <w:pStyle w:val="Compact"/>
              <w:jc w:val="left"/>
            </w:pPr>
            <w:r>
              <w:rPr>
                <w:bCs/>
                <w:b/>
              </w:rPr>
              <w:t xml:space="preserve">Structural Load Testing Analysis:</w:t>
            </w:r>
            <w:r>
              <w:t xml:space="preserve"> </w:t>
            </w:r>
            <w:r>
              <w:t xml:space="preserve">Evaluation of composite material stress points for fuselage components. Includes detailed reporting and certification documentation required for regulatory compliance in Buenos Aires.</w:t>
            </w:r>
          </w:p>
        </w:tc>
        <w:tc>
          <w:tcPr/>
          <w:p>
            <w:pPr>
              <w:pStyle w:val="Compact"/>
              <w:jc w:val="left"/>
            </w:pPr>
            <w:r>
              <w:t xml:space="preserve">25.0</w:t>
            </w:r>
          </w:p>
        </w:tc>
        <w:tc>
          <w:tcPr/>
          <w:p>
            <w:pPr>
              <w:pStyle w:val="Compact"/>
              <w:jc w:val="left"/>
            </w:pPr>
            <w:r>
              <w:t xml:space="preserve">150.00</w:t>
            </w:r>
          </w:p>
        </w:tc>
        <w:tc>
          <w:tcPr/>
          <w:p>
            <w:pPr>
              <w:pStyle w:val="Compact"/>
              <w:jc w:val="left"/>
            </w:pPr>
            <w:r>
              <w:t xml:space="preserve">3,750.00</w:t>
            </w:r>
          </w:p>
        </w:tc>
        <w:tc>
          <w:tcPr/>
          <w:p>
            <w:pPr>
              <w:pStyle w:val="Compact"/>
              <w:jc w:val="left"/>
            </w:pPr>
            <w:r>
              <w:t xml:space="preserve">787.50</w:t>
            </w:r>
          </w:p>
        </w:tc>
      </w:tr>
      <w:tr>
        <w:tc>
          <w:tcPr/>
          <w:p>
            <w:pPr>
              <w:pStyle w:val="Compact"/>
              <w:jc w:val="left"/>
            </w:pPr>
            <w:r>
              <w:t xml:space="preserve">3</w:t>
            </w:r>
          </w:p>
        </w:tc>
        <w:tc>
          <w:tcPr/>
          <w:p>
            <w:pPr>
              <w:pStyle w:val="Compact"/>
              <w:jc w:val="left"/>
            </w:pPr>
            <w:r>
              <w:rPr>
                <w:bCs/>
                <w:b/>
              </w:rPr>
              <w:t xml:space="preserve">Propulsion System Efficiency Audit:</w:t>
            </w:r>
            <w:r>
              <w:t xml:space="preserve"> </w:t>
            </w:r>
            <w:r>
              <w:t xml:space="preserve">Review of engine performance data and thermal management systems. On-site inspection conducted at the client's facility in Buenos Aires, Argentina.</w:t>
            </w:r>
          </w:p>
        </w:tc>
        <w:tc>
          <w:tcPr/>
          <w:p>
            <w:pPr>
              <w:pStyle w:val="Compact"/>
              <w:jc w:val="left"/>
            </w:pPr>
            <w:r>
              <w:t xml:space="preserve">15.0</w:t>
            </w:r>
          </w:p>
        </w:tc>
        <w:tc>
          <w:tcPr/>
          <w:p>
            <w:pPr>
              <w:pStyle w:val="Compact"/>
              <w:jc w:val="left"/>
            </w:pPr>
            <w:r>
              <w:t xml:space="preserve">175.00</w:t>
            </w:r>
          </w:p>
        </w:tc>
        <w:tc>
          <w:tcPr/>
          <w:p>
            <w:pPr>
              <w:pStyle w:val="Compact"/>
              <w:jc w:val="left"/>
            </w:pPr>
            <w:r>
              <w:t xml:space="preserve">2,625.00</w:t>
            </w:r>
          </w:p>
        </w:tc>
        <w:tc>
          <w:tcPr/>
          <w:p>
            <w:pPr>
              <w:pStyle w:val="Compact"/>
              <w:jc w:val="left"/>
            </w:pPr>
            <w:r>
              <w:t xml:space="preserve">551.25</w:t>
            </w:r>
          </w:p>
        </w:tc>
      </w:tr>
      <w:tr>
        <w:tc>
          <w:tcPr/>
          <w:p>
            <w:pPr>
              <w:pStyle w:val="Compact"/>
              <w:jc w:val="left"/>
            </w:pPr>
            <w:r>
              <w:t xml:space="preserve">4</w:t>
            </w:r>
          </w:p>
        </w:tc>
        <w:tc>
          <w:tcPr/>
          <w:p>
            <w:pPr>
              <w:pStyle w:val="Compact"/>
              <w:jc w:val="left"/>
            </w:pPr>
            <w:r>
              <w:rPr>
                <w:bCs/>
                <w:b/>
              </w:rPr>
              <w:t xml:space="preserve">Technical Documentation &amp; Reporting:</w:t>
            </w:r>
            <w:r>
              <w:t xml:space="preserve"> </w:t>
            </w:r>
            <w:r>
              <w:t xml:space="preserve">Preparation of final engineering reports, safety assessments, and maintenance recommendations tailored to the specific operational environment of the region.</w:t>
            </w:r>
          </w:p>
        </w:tc>
        <w:tc>
          <w:tcPr/>
          <w:p>
            <w:pPr>
              <w:pStyle w:val="Compact"/>
              <w:jc w:val="left"/>
            </w:pPr>
            <w:r>
              <w:t xml:space="preserve">10.0</w:t>
            </w:r>
          </w:p>
        </w:tc>
        <w:tc>
          <w:tcPr/>
          <w:p>
            <w:pPr>
              <w:pStyle w:val="Compact"/>
              <w:jc w:val="left"/>
            </w:pPr>
            <w:r>
              <w:t xml:space="preserve">125.00</w:t>
            </w:r>
          </w:p>
        </w:tc>
        <w:tc>
          <w:tcPr/>
          <w:p>
            <w:pPr>
              <w:pStyle w:val="Compact"/>
              <w:jc w:val="left"/>
            </w:pPr>
            <w:r>
              <w:t xml:space="preserve">1,250.00</w:t>
            </w:r>
          </w:p>
        </w:tc>
        <w:tc>
          <w:tcPr/>
          <w:p>
            <w:pPr>
              <w:pStyle w:val="Compact"/>
              <w:jc w:val="left"/>
            </w:pPr>
            <w:r>
              <w:t xml:space="preserve">262.50</w:t>
            </w:r>
          </w:p>
        </w:tc>
      </w:tr>
      <w:tr>
        <w:tc>
          <w:tcPr/>
          <w:p>
            <w:pPr>
              <w:pStyle w:val="Compact"/>
              <w:jc w:val="left"/>
            </w:pPr>
            <w:r>
              <w:t xml:space="preserve">5</w:t>
            </w:r>
          </w:p>
        </w:tc>
        <w:tc>
          <w:tcPr/>
          <w:p>
            <w:pPr>
              <w:pStyle w:val="Compact"/>
              <w:jc w:val="left"/>
            </w:pPr>
            <w:r>
              <w:rPr>
                <w:bCs/>
                <w:b/>
              </w:rPr>
              <w:t xml:space="preserve">Software Licensing Fee:</w:t>
            </w:r>
            <w:r>
              <w:t xml:space="preserve"> </w:t>
            </w:r>
            <w:r>
              <w:t xml:space="preserve">Temporary license for advanced aerospace simulation software used exclusively for this project duration.</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525.00</w:t>
            </w:r>
          </w:p>
        </w:tc>
      </w:tr>
    </w:tbl>
    <w:p>
      <w:pPr>
        <w:pStyle w:val="BodyText"/>
      </w:pPr>
      <w:r>
        <w:t xml:space="preserve">Subtotal:</w:t>
      </w:r>
      <w:r>
        <w:t xml:space="preserve"> </w:t>
      </w:r>
      <w:r>
        <w:t xml:space="preserve">$16,125.00</w:t>
      </w:r>
    </w:p>
    <w:p>
      <w:pPr>
        <w:pStyle w:val="BodyText"/>
      </w:pPr>
      <w:r>
        <w:t xml:space="preserve">IVA (21% - Value Added Tax):</w:t>
      </w:r>
      <w:r>
        <w:t xml:space="preserve"> </w:t>
      </w:r>
      <w:r>
        <w:t xml:space="preserve">$3,386.25</w:t>
      </w:r>
    </w:p>
    <w:p>
      <w:pPr>
        <w:pStyle w:val="BodyText"/>
      </w:pPr>
      <w:r>
        <w:t xml:space="preserve">TOTAL DUE:</w:t>
      </w:r>
      <w:r>
        <w:t xml:space="preserve"> </w:t>
      </w:r>
      <w:r>
        <w:t xml:space="preserve">$19,511.25</w:t>
      </w:r>
    </w:p>
    <w:bookmarkStart w:id="24" w:name="payment-instructions-banking-details"/>
    <w:p>
      <w:pPr>
        <w:pStyle w:val="Heading4"/>
      </w:pPr>
      <w:r>
        <w:t xml:space="preserve">Payment Instructions &amp; Banking Details</w:t>
      </w:r>
    </w:p>
    <w:p>
      <w:pPr>
        <w:pStyle w:val="FirstParagraph"/>
      </w:pPr>
      <w:r>
        <w:t xml:space="preserve">Please remit payment via bank transfer to the following account within 30 days of the invoice date. All transactions are subject to the financial regulations of the Central Bank of Argentina.</w:t>
      </w:r>
    </w:p>
    <w:p>
      <w:pPr>
        <w:pStyle w:val="BodyText"/>
      </w:pPr>
      <w:r>
        <w:rPr>
          <w:bCs/>
          <w:b/>
        </w:rPr>
        <w:t xml:space="preserve">Bank Name:</w:t>
      </w:r>
      <w:r>
        <w:t xml:space="preserve"> </w:t>
      </w:r>
      <w:r>
        <w:t xml:space="preserve">Banco Nación Argentina</w:t>
      </w:r>
    </w:p>
    <w:p>
      <w:pPr>
        <w:pStyle w:val="BodyText"/>
      </w:pPr>
      <w:r>
        <w:rPr>
          <w:bCs/>
          <w:b/>
        </w:rPr>
        <w:t xml:space="preserve">Account Name:</w:t>
      </w:r>
      <w:r>
        <w:t xml:space="preserve"> </w:t>
      </w:r>
      <w:r>
        <w:t xml:space="preserve">AeroTech Solutions S.A.</w:t>
      </w:r>
    </w:p>
    <w:p>
      <w:pPr>
        <w:pStyle w:val="BodyText"/>
      </w:pPr>
      <w:r>
        <w:rPr>
          <w:bCs/>
          <w:b/>
        </w:rPr>
        <w:t xml:space="preserve">CBU:</w:t>
      </w:r>
      <w:r>
        <w:t xml:space="preserve"> </w:t>
      </w:r>
      <w:r>
        <w:t xml:space="preserve">0110000000000000123456</w:t>
      </w:r>
    </w:p>
    <w:p>
      <w:pPr>
        <w:pStyle w:val="BodyText"/>
      </w:pPr>
      <w:r>
        <w:rPr>
          <w:bCs/>
          <w:b/>
        </w:rPr>
        <w:t xml:space="preserve">SWIFT/BIC:</w:t>
      </w:r>
      <w:r>
        <w:t xml:space="preserve"> </w:t>
      </w:r>
      <w:r>
        <w:t xml:space="preserve">NACNARBA</w:t>
      </w:r>
    </w:p>
    <w:p>
      <w:pPr>
        <w:pStyle w:val="BodyText"/>
      </w:pPr>
      <w:r>
        <w:rPr>
          <w:bCs/>
          <w:b/>
        </w:rPr>
        <w:t xml:space="preserve">Reference:</w:t>
      </w:r>
      <w:r>
        <w:t xml:space="preserve"> </w:t>
      </w:r>
      <w:r>
        <w:t xml:space="preserve">Please include Invoice Number INV-2023-0892 in the transfer reference.</w:t>
      </w:r>
    </w:p>
    <w:p>
      <w:pPr>
        <w:pStyle w:val="BodyText"/>
      </w:pPr>
      <w:r>
        <w:rPr>
          <w:iCs/>
          <w:i/>
        </w:rPr>
        <w:t xml:space="preserve">Note: Late payments may incur a penalty interest rate of 2% per month, in accordance with local commercial law.</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professional services provided by our team of Aerospace Engineers as detailed in the line items above. Any additional work requested outside the original scope will be billed separately.</w:t>
      </w:r>
    </w:p>
    <w:p>
      <w:pPr>
        <w:pStyle w:val="BodyText"/>
      </w:pPr>
      <w:r>
        <w:t xml:space="preserve">2.</w:t>
      </w:r>
      <w:r>
        <w:t xml:space="preserve"> </w:t>
      </w:r>
      <w:r>
        <w:rPr>
          <w:bCs/>
          <w:b/>
        </w:rPr>
        <w:t xml:space="preserve">Intellectual Property:</w:t>
      </w:r>
      <w:r>
        <w:t xml:space="preserve"> </w:t>
      </w:r>
      <w:r>
        <w:t xml:space="preserve">All engineering designs, reports, and data generated during this project remain the intellectual property of AeroTech Solutions S.A. until full payment is received. Upon payment, a limited license is granted to the client for internal use.</w:t>
      </w:r>
    </w:p>
    <w:p>
      <w:pPr>
        <w:pStyle w:val="BodyText"/>
      </w:pPr>
      <w:r>
        <w:t xml:space="preserve">3.</w:t>
      </w:r>
      <w:r>
        <w:t xml:space="preserve"> </w:t>
      </w:r>
      <w:r>
        <w:rPr>
          <w:bCs/>
          <w:b/>
        </w:rPr>
        <w:t xml:space="preserve">Compliance:</w:t>
      </w:r>
      <w:r>
        <w:t xml:space="preserve"> </w:t>
      </w:r>
      <w:r>
        <w:t xml:space="preserve">All services were performed in compliance with the safety and quality standards mandated by the National Civil Aviation Authority (ANAC) of Argentina.</w:t>
      </w:r>
    </w:p>
    <w:p>
      <w:pPr>
        <w:pStyle w:val="BodyText"/>
      </w:pPr>
      <w:r>
        <w:t xml:space="preserve">4.</w:t>
      </w:r>
      <w:r>
        <w:t xml:space="preserve"> </w:t>
      </w:r>
      <w:r>
        <w:rPr>
          <w:bCs/>
          <w:b/>
        </w:rPr>
        <w:t xml:space="preserve">Disputes:</w:t>
      </w:r>
      <w:r>
        <w:t xml:space="preserve"> </w:t>
      </w:r>
      <w:r>
        <w:t xml:space="preserve">Any disputes regarding this invoice must be raised in writing within 15 days of receipt. Failure to do so will be considered acceptance of the charges.</w:t>
      </w:r>
    </w:p>
    <w:p>
      <w:pPr>
        <w:pStyle w:val="BodyText"/>
      </w:pPr>
      <w:r>
        <w:t xml:space="preserve">5.</w:t>
      </w:r>
      <w:r>
        <w:t xml:space="preserve"> </w:t>
      </w:r>
      <w:r>
        <w:rPr>
          <w:bCs/>
          <w:b/>
        </w:rPr>
        <w:t xml:space="preserve">Governing Law:</w:t>
      </w:r>
      <w:r>
        <w:t xml:space="preserve"> </w:t>
      </w:r>
      <w:r>
        <w:t xml:space="preserve">This agreement is governed by the laws of the Autonomous City of Buenos Aires, Argentina.</w:t>
      </w:r>
    </w:p>
    <w:bookmarkEnd w:id="25"/>
    <w:p>
      <w:pPr>
        <w:pStyle w:val="BodyText"/>
      </w:pPr>
      <w:r>
        <w:t xml:space="preserve">Thank you for your business. We appreciate your trust in our Aerospace Engineering expertise.</w:t>
      </w:r>
    </w:p>
    <w:p>
      <w:pPr>
        <w:pStyle w:val="BodyText"/>
      </w:pPr>
      <w:r>
        <w:t xml:space="preserve">AeroTech Solutions S.A. | Av. Corrientes 1234, Buenos Aires, Argentina | CUIT: 30-71234567-8</w:t>
      </w:r>
    </w:p>
    <w:p>
      <w:pPr>
        <w:pStyle w:val="BodyText"/>
      </w:pPr>
      <w:r>
        <w:t xml:space="preserve">This is a computer-generated document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2026-10-10T04:06:56Z</dcterms:created>
  <dcterms:modified xsi:type="dcterms:W3CDTF">2026-10-10T04:06:56Z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