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Aerospace</w:t>
      </w:r>
      <w:r>
        <w:t xml:space="preserve"> </w:t>
      </w:r>
      <w:r>
        <w:t xml:space="preserve">Engineering</w:t>
      </w:r>
      <w:r>
        <w:t xml:space="preserve"> </w:t>
      </w:r>
      <w:r>
        <w:t xml:space="preserve">Services</w:t>
      </w:r>
    </w:p>
    <w:bookmarkStart w:id="20" w:name="aerotech-solutions"/>
    <w:p>
      <w:pPr>
        <w:pStyle w:val="Heading1"/>
      </w:pPr>
      <w:r>
        <w:t xml:space="preserve">AeroTech Solutions</w:t>
      </w:r>
    </w:p>
    <w:p>
      <w:pPr>
        <w:pStyle w:val="FirstParagraph"/>
      </w:pPr>
      <w:r>
        <w:t xml:space="preserve">Advanced Aerospace Engineering &amp; Consultancy</w:t>
      </w:r>
    </w:p>
    <w:p>
      <w:pPr>
        <w:pStyle w:val="BodyText"/>
      </w:pPr>
      <w:r>
        <w:t xml:space="preserve">12 Avenue de la Grande Armée</w:t>
      </w:r>
    </w:p>
    <w:p>
      <w:pPr>
        <w:pStyle w:val="BodyText"/>
      </w:pPr>
      <w:r>
        <w:t xml:space="preserve">75116 Paris, France</w:t>
      </w:r>
    </w:p>
    <w:p>
      <w:pPr>
        <w:pStyle w:val="BodyText"/>
      </w:pPr>
      <w:r>
        <w:t xml:space="preserve">SIRET: 852 963 741 00012 | TVA Intracommunautaire: FR 76 852963741</w:t>
      </w:r>
    </w:p>
    <w:p>
      <w:pPr>
        <w:pStyle w:val="BodyText"/>
      </w:pPr>
      <w:r>
        <w:t xml:space="preserve">Email: billing@aerotech-paris.fr | Phone: +33 1 45 67 89 00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INV-2023-8942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Project Reference:</w:t>
      </w:r>
      <w:r>
        <w:t xml:space="preserve"> </w:t>
      </w:r>
      <w:r>
        <w:t xml:space="preserve">A350-XWB Structural Optimization</w:t>
      </w:r>
    </w:p>
    <w:bookmarkEnd w:id="21"/>
    <w:bookmarkStart w:id="22" w:name="bill-to"/>
    <w:p>
      <w:pPr>
        <w:pStyle w:val="Heading3"/>
      </w:pPr>
      <w:r>
        <w:t xml:space="preserve">Bill To:</w:t>
      </w:r>
    </w:p>
    <w:p>
      <w:pPr>
        <w:pStyle w:val="FirstParagraph"/>
      </w:pPr>
      <w:r>
        <w:rPr>
          <w:bCs/>
          <w:b/>
        </w:rPr>
        <w:t xml:space="preserve">European Aviation Dynamics S.A.S.</w:t>
      </w:r>
    </w:p>
    <w:p>
      <w:pPr>
        <w:pStyle w:val="BodyText"/>
      </w:pPr>
      <w:r>
        <w:t xml:space="preserve">Attn: Procurement Department</w:t>
      </w:r>
    </w:p>
    <w:p>
      <w:pPr>
        <w:pStyle w:val="BodyText"/>
      </w:pPr>
      <w:r>
        <w:t xml:space="preserve">45 Rue de la Boétie</w:t>
      </w:r>
    </w:p>
    <w:p>
      <w:pPr>
        <w:pStyle w:val="BodyText"/>
      </w:pPr>
      <w:r>
        <w:t xml:space="preserve">75008 Paris, France</w:t>
      </w:r>
    </w:p>
    <w:p>
      <w:pPr>
        <w:pStyle w:val="BodyText"/>
      </w:pPr>
      <w:r>
        <w:t xml:space="preserve">SIRET: 123 456 789 00055</w:t>
      </w:r>
    </w:p>
    <w:bookmarkEnd w:id="22"/>
    <w:bookmarkStart w:id="23" w:name="project-location"/>
    <w:p>
      <w:pPr>
        <w:pStyle w:val="Heading3"/>
      </w:pPr>
      <w:r>
        <w:t xml:space="preserve">Project Location:</w:t>
      </w:r>
    </w:p>
    <w:p>
      <w:pPr>
        <w:pStyle w:val="FirstParagraph"/>
      </w:pPr>
      <w:r>
        <w:rPr>
          <w:bCs/>
          <w:b/>
        </w:rPr>
        <w:t xml:space="preserve">Paris Aerospace Hub</w:t>
      </w:r>
    </w:p>
    <w:p>
      <w:pPr>
        <w:pStyle w:val="BodyText"/>
      </w:pPr>
      <w:r>
        <w:t xml:space="preserve">Site de Toussus-le-Noble</w:t>
      </w:r>
    </w:p>
    <w:p>
      <w:pPr>
        <w:pStyle w:val="BodyText"/>
      </w:pPr>
      <w:r>
        <w:t xml:space="preserve">78114 Le Vésinet, France</w:t>
      </w:r>
    </w:p>
    <w:p>
      <w:pPr>
        <w:pStyle w:val="BodyText"/>
      </w:pPr>
      <w:r>
        <w:t xml:space="preserve">(Near Paris, France)</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Aerospace Engineering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Senior Aerospace Engineer Consultation:</w:t>
            </w:r>
            <w:r>
              <w:t xml:space="preserve"> </w:t>
            </w:r>
            <w:r>
              <w:t xml:space="preserve">Comprehensive structural analysis of composite wing spars for next-generation commercial airliners. This service includes finite element analysis (FEA) modeling and stress testing simulations compliant with EASA CS-25 regulations.</w:t>
            </w:r>
          </w:p>
        </w:tc>
        <w:tc>
          <w:tcPr/>
          <w:p>
            <w:pPr>
              <w:pStyle w:val="Compact"/>
              <w:jc w:val="left"/>
            </w:pPr>
            <w:r>
              <w:t xml:space="preserve">40</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2</w:t>
            </w:r>
          </w:p>
        </w:tc>
        <w:tc>
          <w:tcPr/>
          <w:p>
            <w:pPr>
              <w:pStyle w:val="Compact"/>
              <w:jc w:val="left"/>
            </w:pPr>
            <w:r>
              <w:rPr>
                <w:bCs/>
                <w:b/>
              </w:rPr>
              <w:t xml:space="preserve">Aerodynamic Performance Optimization:</w:t>
            </w:r>
            <w:r>
              <w:t xml:space="preserve"> </w:t>
            </w:r>
            <w:r>
              <w:t xml:space="preserve">Computational Fluid Dynamics (CFD) simulations to reduce drag coefficients on fuselage fairings. Conducted at our Paris, France facility using high-performance computing clusters. Includes detailed report on lift-to-drag ratio improvements.</w:t>
            </w:r>
          </w:p>
        </w:tc>
        <w:tc>
          <w:tcPr/>
          <w:p>
            <w:pPr>
              <w:pStyle w:val="Compact"/>
              <w:jc w:val="left"/>
            </w:pPr>
            <w:r>
              <w:t xml:space="preserve">25</w:t>
            </w:r>
          </w:p>
        </w:tc>
        <w:tc>
          <w:tcPr/>
          <w:p>
            <w:pPr>
              <w:pStyle w:val="Compact"/>
              <w:jc w:val="left"/>
            </w:pPr>
            <w:r>
              <w:t xml:space="preserve">180.00</w:t>
            </w:r>
          </w:p>
        </w:tc>
        <w:tc>
          <w:tcPr/>
          <w:p>
            <w:pPr>
              <w:pStyle w:val="Compact"/>
              <w:jc w:val="left"/>
            </w:pPr>
            <w:r>
              <w:t xml:space="preserve">4,500.00</w:t>
            </w:r>
          </w:p>
        </w:tc>
      </w:tr>
      <w:tr>
        <w:tc>
          <w:tcPr/>
          <w:p>
            <w:pPr>
              <w:pStyle w:val="Compact"/>
              <w:jc w:val="left"/>
            </w:pPr>
            <w:r>
              <w:t xml:space="preserve">3</w:t>
            </w:r>
          </w:p>
        </w:tc>
        <w:tc>
          <w:tcPr/>
          <w:p>
            <w:pPr>
              <w:pStyle w:val="Compact"/>
              <w:jc w:val="left"/>
            </w:pPr>
            <w:r>
              <w:rPr>
                <w:bCs/>
                <w:b/>
              </w:rPr>
              <w:t xml:space="preserve">Propulsion System Integration Review:</w:t>
            </w:r>
            <w:r>
              <w:t xml:space="preserve"> </w:t>
            </w:r>
            <w:r>
              <w:t xml:space="preserve">Technical audit of engine mount vibration dampening systems. The Aerospace Engineer verified compatibility with current thrust reverser mechanisms and ensured adherence to noise abatement standards for Paris-Charles de Gaulle (CDG) airport operations.</w:t>
            </w:r>
          </w:p>
        </w:tc>
        <w:tc>
          <w:tcPr/>
          <w:p>
            <w:pPr>
              <w:pStyle w:val="Compact"/>
              <w:jc w:val="left"/>
            </w:pPr>
            <w:r>
              <w:t xml:space="preserve">15</w:t>
            </w:r>
          </w:p>
        </w:tc>
        <w:tc>
          <w:tcPr/>
          <w:p>
            <w:pPr>
              <w:pStyle w:val="Compact"/>
              <w:jc w:val="left"/>
            </w:pPr>
            <w:r>
              <w:t xml:space="preserve">180.00</w:t>
            </w:r>
          </w:p>
        </w:tc>
        <w:tc>
          <w:tcPr/>
          <w:p>
            <w:pPr>
              <w:pStyle w:val="Compact"/>
              <w:jc w:val="left"/>
            </w:pPr>
            <w:r>
              <w:t xml:space="preserve">2,700.00</w:t>
            </w:r>
          </w:p>
        </w:tc>
      </w:tr>
      <w:tr>
        <w:tc>
          <w:tcPr/>
          <w:p>
            <w:pPr>
              <w:pStyle w:val="Compact"/>
              <w:jc w:val="left"/>
            </w:pPr>
            <w:r>
              <w:t xml:space="preserve">4</w:t>
            </w:r>
          </w:p>
        </w:tc>
        <w:tc>
          <w:tcPr/>
          <w:p>
            <w:pPr>
              <w:pStyle w:val="Compact"/>
              <w:jc w:val="left"/>
            </w:pPr>
            <w:r>
              <w:rPr>
                <w:bCs/>
                <w:b/>
              </w:rPr>
              <w:t xml:space="preserve">Regulatory Compliance Documentation:</w:t>
            </w:r>
            <w:r>
              <w:t xml:space="preserve"> </w:t>
            </w:r>
            <w:r>
              <w:t xml:space="preserve">Preparation of technical dossiers required for certification by the Direction Générale de l'Aviation Civile (DGAC) in France. Includes safety assessments and material traceability records for aerospace-grade titanium alloys.</w:t>
            </w:r>
          </w:p>
        </w:tc>
        <w:tc>
          <w:tcPr/>
          <w:p>
            <w:pPr>
              <w:pStyle w:val="Compact"/>
              <w:jc w:val="left"/>
            </w:pPr>
            <w:r>
              <w:t xml:space="preserve">10</w:t>
            </w:r>
          </w:p>
        </w:tc>
        <w:tc>
          <w:tcPr/>
          <w:p>
            <w:pPr>
              <w:pStyle w:val="Compact"/>
              <w:jc w:val="left"/>
            </w:pPr>
            <w:r>
              <w:t xml:space="preserve">150.00</w:t>
            </w:r>
          </w:p>
        </w:tc>
        <w:tc>
          <w:tcPr/>
          <w:p>
            <w:pPr>
              <w:pStyle w:val="Compact"/>
              <w:jc w:val="left"/>
            </w:pPr>
            <w:r>
              <w:t xml:space="preserve">1,500.00</w:t>
            </w:r>
          </w:p>
        </w:tc>
      </w:tr>
      <w:tr>
        <w:tc>
          <w:tcPr/>
          <w:p>
            <w:pPr>
              <w:pStyle w:val="Compact"/>
              <w:jc w:val="left"/>
            </w:pPr>
            <w:r>
              <w:t xml:space="preserve">5</w:t>
            </w:r>
          </w:p>
        </w:tc>
        <w:tc>
          <w:tcPr/>
          <w:p>
            <w:pPr>
              <w:pStyle w:val="Compact"/>
              <w:jc w:val="left"/>
            </w:pPr>
            <w:r>
              <w:rPr>
                <w:bCs/>
                <w:b/>
              </w:rPr>
              <w:t xml:space="preserve">On-Site Engineering Support:</w:t>
            </w:r>
            <w:r>
              <w:t xml:space="preserve"> </w:t>
            </w:r>
            <w:r>
              <w:t xml:space="preserve">Deployment of a Senior Aerospace Engineer to the client's facility in Paris, France for three days. Activities included wind tunnel data interpretation, team training on new CAD software protocols, and real-time troubleshooting of assembly line discrepancies.</w:t>
            </w:r>
          </w:p>
        </w:tc>
        <w:tc>
          <w:tcPr/>
          <w:p>
            <w:pPr>
              <w:pStyle w:val="Compact"/>
              <w:jc w:val="left"/>
            </w:pPr>
            <w:r>
              <w:t xml:space="preserve">3</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6</w:t>
            </w:r>
          </w:p>
        </w:tc>
        <w:tc>
          <w:tcPr/>
          <w:p>
            <w:pPr>
              <w:pStyle w:val="Compact"/>
              <w:jc w:val="left"/>
            </w:pPr>
            <w:r>
              <w:rPr>
                <w:bCs/>
                <w:b/>
              </w:rPr>
              <w:t xml:space="preserve">Software Licensing &amp; Tools:</w:t>
            </w:r>
            <w:r>
              <w:t xml:space="preserve"> </w:t>
            </w:r>
            <w:r>
              <w:t xml:space="preserve">Temporary license fees for specialized aerospace simulation software (ANSYS Fluent &amp; CATIA V5) utilized during the project duration.</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bl>
    <w:p>
      <w:pPr>
        <w:pStyle w:val="BodyText"/>
      </w:pPr>
      <w:r>
        <w:t xml:space="preserve">Subtotal:</w:t>
      </w:r>
      <w:r>
        <w:t xml:space="preserve"> </w:t>
      </w:r>
      <w:r>
        <w:t xml:space="preserve">20,350.00 EUR</w:t>
      </w:r>
    </w:p>
    <w:p>
      <w:pPr>
        <w:pStyle w:val="BodyText"/>
      </w:pPr>
      <w:r>
        <w:t xml:space="preserve">VAT (TVA) 20%:</w:t>
      </w:r>
      <w:r>
        <w:t xml:space="preserve"> </w:t>
      </w:r>
      <w:r>
        <w:t xml:space="preserve">4,070.00 EUR</w:t>
      </w:r>
    </w:p>
    <w:p>
      <w:pPr>
        <w:pStyle w:val="BodyText"/>
      </w:pPr>
      <w:r>
        <w:t xml:space="preserve">TOTAL DUE:</w:t>
      </w:r>
      <w:r>
        <w:t xml:space="preserve"> </w:t>
      </w:r>
      <w:r>
        <w:t xml:space="preserve">24,420.00 EUR</w:t>
      </w:r>
    </w:p>
    <w:bookmarkStart w:id="24" w:name="payment-instructions-terms"/>
    <w:p>
      <w:pPr>
        <w:pStyle w:val="Heading4"/>
      </w:pPr>
      <w:r>
        <w:t xml:space="preserve">Payment Instructions &amp; Terms</w:t>
      </w:r>
    </w:p>
    <w:p>
      <w:pPr>
        <w:pStyle w:val="FirstParagraph"/>
      </w:pPr>
      <w:r>
        <w:rPr>
          <w:bCs/>
          <w:b/>
        </w:rPr>
        <w:t xml:space="preserve">Bank Transfer Details:</w:t>
      </w:r>
    </w:p>
    <w:p>
      <w:pPr>
        <w:pStyle w:val="BodyText"/>
      </w:pPr>
      <w:r>
        <w:t xml:space="preserve">Bank: Société Générale Paris Opéra</w:t>
      </w:r>
    </w:p>
    <w:p>
      <w:pPr>
        <w:pStyle w:val="BodyText"/>
      </w:pPr>
      <w:r>
        <w:t xml:space="preserve">IBAN: FR76 3000 1007 9412 3456 7890 123</w:t>
      </w:r>
    </w:p>
    <w:p>
      <w:pPr>
        <w:pStyle w:val="BodyText"/>
      </w:pPr>
      <w:r>
        <w:t xml:space="preserve">BIC: SOGEFRPP</w:t>
      </w:r>
    </w:p>
    <w:p>
      <w:pPr>
        <w:pStyle w:val="BodyText"/>
      </w:pPr>
      <w:r>
        <w:t xml:space="preserve">Please reference Invoice Number INV-2023-8942 in the payment description.</w:t>
      </w:r>
    </w:p>
    <w:p>
      <w:pPr>
        <w:pStyle w:val="BodyText"/>
      </w:pPr>
      <w:r>
        <w:br/>
      </w:r>
    </w:p>
    <w:p>
      <w:pPr>
        <w:pStyle w:val="BodyText"/>
      </w:pPr>
      <w:r>
        <w:rPr>
          <w:bCs/>
          <w:b/>
        </w:rPr>
        <w:t xml:space="preserve">Terms:</w:t>
      </w:r>
      <w:r>
        <w:t xml:space="preserve"> </w:t>
      </w:r>
      <w:r>
        <w:t xml:space="preserve">Payment is due within 30 days of the invoice date. Late payments may incur a penalty interest rate of 3 times the legal interest rate in force in France, plus a fixed recovery fee of 40 EUR as per Article L441-6 of the French Commercial Code.</w:t>
      </w:r>
    </w:p>
    <w:p>
      <w:pPr>
        <w:pStyle w:val="BodyText"/>
      </w:pPr>
      <w:r>
        <w:br/>
      </w:r>
    </w:p>
    <w:p>
      <w:pPr>
        <w:pStyle w:val="BodyText"/>
      </w:pPr>
      <w:r>
        <w:rPr>
          <w:bCs/>
          <w:b/>
        </w:rPr>
        <w:t xml:space="preserve">Service Scope Note:</w:t>
      </w:r>
      <w:r>
        <w:t xml:space="preserve"> </w:t>
      </w:r>
      <w:r>
        <w:t xml:space="preserve">All engineering services provided by our Aerospace Engineer team are guaranteed to meet the highest industry standards. This invoice covers all intellectual property rights related to the specific designs and analyses performed for this project within the jurisdiction of France.</w:t>
      </w:r>
    </w:p>
    <w:bookmarkEnd w:id="24"/>
    <w:p>
      <w:pPr>
        <w:pStyle w:val="BodyText"/>
      </w:pPr>
      <w:r>
        <w:rPr>
          <w:bCs/>
          <w:b/>
        </w:rPr>
        <w:t xml:space="preserve">Authorized Signature:</w:t>
      </w:r>
    </w:p>
    <w:p>
      <w:pPr>
        <w:pStyle w:val="BodyText"/>
      </w:pPr>
      <w:r>
        <w:t xml:space="preserve">Jean-Pierre Dubois</w:t>
      </w:r>
    </w:p>
    <w:p>
      <w:pPr>
        <w:pStyle w:val="BodyText"/>
      </w:pPr>
      <w:r>
        <w:t xml:space="preserve">Chief Aerospace Engineer</w:t>
      </w:r>
    </w:p>
    <w:p>
      <w:pPr>
        <w:pStyle w:val="BodyText"/>
      </w:pPr>
      <w:r>
        <w:t xml:space="preserve">AeroTech Solutions</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AeroTech Solutions | 12 Avenue de la Grande Armée, 75116 Paris, France</w:t>
      </w:r>
    </w:p>
    <w:p>
      <w:pPr>
        <w:pStyle w:val="BodyText"/>
      </w:pPr>
      <w:r>
        <w:t xml:space="preserve">This is a computer-generated invoice. No signature is required for validity under French law.</w:t>
      </w:r>
    </w:p>
    <w:p>
      <w:pPr>
        <w:pStyle w:val="BodyText"/>
      </w:pPr>
      <w:r>
        <w:t xml:space="preserve">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Aerospace Engineering Services</dc:title>
  <dc:creator/>
  <dc:language>en</dc:language>
  <cp:keywords/>
  <dcterms:created xsi:type="dcterms:W3CDTF">2026-10-10T02:14:09Z</dcterms:created>
  <dcterms:modified xsi:type="dcterms:W3CDTF">2026-10-10T02:14:09Z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