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ward-aerospace-solutions"/>
    <w:p>
      <w:pPr>
        <w:pStyle w:val="Heading1"/>
      </w:pPr>
      <w:r>
        <w:t xml:space="preserve">Skyward Aerospace Solutions</w:t>
      </w:r>
    </w:p>
    <w:p>
      <w:pPr>
        <w:pStyle w:val="FirstParagraph"/>
      </w:pPr>
      <w:r>
        <w:rPr>
          <w:bCs/>
          <w:b/>
        </w:rPr>
        <w:t xml:space="preserve">Professional Aerospace Engineering Services</w:t>
      </w:r>
    </w:p>
    <w:p>
      <w:pPr>
        <w:pStyle w:val="BodyText"/>
      </w:pPr>
      <w:r>
        <w:t xml:space="preserve">Jl. Sudirman Kav. 52-53, SCBD Lot 12</w:t>
      </w:r>
    </w:p>
    <w:p>
      <w:pPr>
        <w:pStyle w:val="BodyText"/>
      </w:pPr>
      <w:r>
        <w:t xml:space="preserve">Jakarta Selatan, DKI Jakarta 12190</w:t>
      </w:r>
    </w:p>
    <w:p>
      <w:pPr>
        <w:pStyle w:val="BodyText"/>
      </w:pPr>
      <w:r>
        <w:t xml:space="preserve">Indonesia</w:t>
      </w:r>
    </w:p>
    <w:p>
      <w:pPr>
        <w:pStyle w:val="BodyText"/>
      </w:pPr>
      <w:r>
        <w:t xml:space="preserve">Email: billing@skywardaero.id | 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 Garuda Aviation Technologies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Jl. H.R. Rasuna Said Kav. C-1</w:t>
      </w:r>
    </w:p>
    <w:p>
      <w:pPr>
        <w:pStyle w:val="BodyText"/>
      </w:pPr>
      <w:r>
        <w:t xml:space="preserve">Kuningan, Jakarta Selatan 12940</w:t>
      </w:r>
    </w:p>
    <w:p>
      <w:pPr>
        <w:pStyle w:val="BodyText"/>
      </w:pPr>
      <w:r>
        <w:t xml:space="preserve">Indonesia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Next-Gen Turbine Efficiency Analysis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 Aerospace Hub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#AERO-JKT-2023-44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Comprehensive aerodynamic analysis and CFD (Computational Fluid Dynamics) simulation for turbine blade optimization. Services rendered by certified Aerospace Engineer specializing in propulsion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Assessment</w:t>
            </w:r>
            <w:r>
              <w:br/>
            </w:r>
            <w:r>
              <w:t xml:space="preserve">Finite Element Analysis (FEA) of composite airframe components to ensure compliance with Indonesian Directorate General of Civil Aviation (DGCA) standards and international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Preparation of detailed engineering reports, safety compliance documentation, and technical specifications required for regulatory approval in Indonesia Jakarta 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</w:t>
            </w:r>
            <w:r>
              <w:br/>
            </w:r>
            <w:r>
              <w:t xml:space="preserve">Deployment of Aerospace Engineer team to Jakarta facility for prototype testing, calibration of avionics systems, and real-time troubleshooting during wind tunnel simulations.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Simulation Tools</w:t>
            </w:r>
            <w:r>
              <w:br/>
            </w:r>
            <w:r>
              <w:t xml:space="preserve">Temporary licensing fees for high-performance aerospace simulation software utilized during the project phase in Indonesia.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234,500,000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25,795,000</w:t>
      </w:r>
    </w:p>
    <w:p>
      <w:pPr>
        <w:pStyle w:val="BodyText"/>
      </w:pPr>
      <w:r>
        <w:t xml:space="preserve">Withholding Tax (PPh 23) 2%:</w:t>
      </w:r>
      <w:r>
        <w:t xml:space="preserve"> </w:t>
      </w:r>
      <w:r>
        <w:t xml:space="preserve">- IDR 4,690,000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255,605,000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Skyward Aerospace Solutions Indonesia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t xml:space="preserve">Please include the Invoice Number (INV-JKT-2023-089) as the reference for your transfer.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services rendered by a qualified Aerospace Engineer in accordance with the contract signed between Skyward Aerospace Solutions and PT Garuda Aviation Technologies.</w:t>
      </w:r>
    </w:p>
    <w:p>
      <w:pPr>
        <w:pStyle w:val="BodyText"/>
      </w:pPr>
      <w:r>
        <w:t xml:space="preserve">2. All engineering calculations, designs, and reports provided are the intellectual property of Skyward Aerospace Solutions until full payment is received.</w:t>
      </w:r>
    </w:p>
    <w:p>
      <w:pPr>
        <w:pStyle w:val="BodyText"/>
      </w:pPr>
      <w:r>
        <w:t xml:space="preserve">3. Late payments will incur a penalty interest of 2% per month on the outstanding balance, in compliance with Indonesian commercial law.</w:t>
      </w:r>
    </w:p>
    <w:p>
      <w:pPr>
        <w:pStyle w:val="BodyText"/>
      </w:pPr>
      <w:r>
        <w:t xml:space="preserve">4. Services are guaranteed to meet the technical specifications outlined in the project scope. Any disputes regarding engineering accuracy must be raised within 14 days of invoice receipt.</w:t>
      </w:r>
    </w:p>
    <w:p>
      <w:pPr>
        <w:pStyle w:val="BodyText"/>
      </w:pPr>
      <w:r>
        <w:t xml:space="preserve">5. This transaction is subject to the tax regulations of Indonesia Jakarta, including applicable Value Added Tax (PPN) and Withholding Tax (PPh).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Andi Wijaya, P.Eng.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t xml:space="preserve">Skyward Aerospace Solutions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PT Garuda Aviation Technologies</w:t>
      </w:r>
    </w:p>
    <w:p>
      <w:pPr>
        <w:pStyle w:val="BodyText"/>
      </w:pPr>
      <w:r>
        <w:t xml:space="preserve">Thank you for your business. We appreciate your trust in our Aerospace Engineering expertise.</w:t>
      </w:r>
    </w:p>
    <w:p>
      <w:pPr>
        <w:pStyle w:val="BodyText"/>
      </w:pPr>
      <w:r>
        <w:t xml:space="preserve">Skyward Aerospace Solutions | Jakarta, Indonesia | www.skywardaero.id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2026-10-10T04:06:39Z</dcterms:created>
  <dcterms:modified xsi:type="dcterms:W3CDTF">2026-10-10T04:06:39Z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