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viation-space-engineering-solutions"/>
    <w:p>
      <w:pPr>
        <w:pStyle w:val="Heading1"/>
      </w:pPr>
      <w:r>
        <w:t xml:space="preserve">Aviation &amp; Space Engineering Solutions</w:t>
      </w:r>
    </w:p>
    <w:p>
      <w:pPr>
        <w:pStyle w:val="FirstParagraph"/>
      </w:pPr>
      <w:r>
        <w:rPr>
          <w:bCs/>
          <w:b/>
        </w:rPr>
        <w:t xml:space="preserve">Address:</w:t>
      </w:r>
      <w:r>
        <w:t xml:space="preserve"> </w:t>
      </w:r>
      <w:r>
        <w:t xml:space="preserve">No. 42, Valiasr Street, District 6, Tehran, Iran</w:t>
      </w:r>
    </w:p>
    <w:p>
      <w:pPr>
        <w:pStyle w:val="BodyText"/>
      </w:pPr>
      <w:r>
        <w:rPr>
          <w:bCs/>
          <w:b/>
        </w:rPr>
        <w:t xml:space="preserve">Phone:</w:t>
      </w:r>
      <w:r>
        <w:t xml:space="preserve"> </w:t>
      </w:r>
      <w:r>
        <w:t xml:space="preserve">+98 21 8800 5500</w:t>
      </w:r>
    </w:p>
    <w:p>
      <w:pPr>
        <w:pStyle w:val="BodyText"/>
      </w:pPr>
      <w:r>
        <w:rPr>
          <w:bCs/>
          <w:b/>
        </w:rPr>
        <w:t xml:space="preserve">Email:</w:t>
      </w:r>
      <w:r>
        <w:t xml:space="preserve"> </w:t>
      </w:r>
      <w:r>
        <w:t xml:space="preserve">billing@aviationspace-eng.ir</w:t>
      </w:r>
    </w:p>
    <w:p>
      <w:pPr>
        <w:pStyle w:val="BodyText"/>
      </w:pPr>
      <w:r>
        <w:rPr>
          <w:bCs/>
          <w:b/>
        </w:rPr>
        <w:t xml:space="preserve">Tax ID:</w:t>
      </w:r>
      <w:r>
        <w:t xml:space="preserve"> </w:t>
      </w:r>
      <w:r>
        <w:t xml:space="preserve">101088445599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INV-TEH-2023-089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Location:</w:t>
      </w:r>
      <w:r>
        <w:t xml:space="preserve"> </w:t>
      </w:r>
      <w:r>
        <w:t xml:space="preserve">Tehran, Iran</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National Aerospace Research Institute</w:t>
      </w:r>
    </w:p>
    <w:p>
      <w:pPr>
        <w:pStyle w:val="BodyText"/>
      </w:pPr>
      <w:r>
        <w:rPr>
          <w:bCs/>
          <w:b/>
        </w:rPr>
        <w:t xml:space="preserve">Department:</w:t>
      </w:r>
      <w:r>
        <w:t xml:space="preserve"> </w:t>
      </w:r>
      <w:r>
        <w:t xml:space="preserve">Advanced Propulsion Systems</w:t>
      </w:r>
    </w:p>
    <w:p>
      <w:pPr>
        <w:pStyle w:val="BodyText"/>
      </w:pPr>
      <w:r>
        <w:rPr>
          <w:bCs/>
          <w:b/>
        </w:rPr>
        <w:t xml:space="preserve">Address:</w:t>
      </w:r>
      <w:r>
        <w:t xml:space="preserve"> </w:t>
      </w:r>
      <w:r>
        <w:t xml:space="preserve">Science &amp; Technology Park, Karaj Road, Tehran, Iran</w:t>
      </w:r>
    </w:p>
    <w:p>
      <w:pPr>
        <w:pStyle w:val="BodyText"/>
      </w:pPr>
      <w:r>
        <w:rPr>
          <w:bCs/>
          <w:b/>
        </w:rPr>
        <w:t xml:space="preserve">Attn:</w:t>
      </w:r>
      <w:r>
        <w:t xml:space="preserve"> </w:t>
      </w:r>
      <w:r>
        <w:t xml:space="preserve">Procurement Office</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rPr>
                <w:bCs/>
                <w:b/>
              </w:rPr>
              <w:t xml:space="preserve">Aerospace Engineer Consultation: Aerodynamic Analysis</w:t>
            </w:r>
            <w:r>
              <w:br/>
            </w:r>
            <w:r>
              <w:t xml:space="preserve">Comprehensive computational fluid dynamics (CFD) analysis for the new UAV prototype. This service includes the modeling of airflow over the fuselage and wing structures to optimize lift-to-drag ratios. The analysis was conducted specifically for the atmospheric conditions prevalent in the Tehran region.</w:t>
            </w:r>
          </w:p>
        </w:tc>
        <w:tc>
          <w:tcPr/>
          <w:p>
            <w:pPr>
              <w:pStyle w:val="Compact"/>
              <w:jc w:val="left"/>
            </w:pPr>
            <w:r>
              <w:t xml:space="preserve">40 Hrs</w:t>
            </w:r>
          </w:p>
        </w:tc>
        <w:tc>
          <w:tcPr/>
          <w:p>
            <w:pPr>
              <w:pStyle w:val="Compact"/>
              <w:jc w:val="left"/>
            </w:pPr>
            <w:r>
              <w:t xml:space="preserve">2,500,000</w:t>
            </w:r>
          </w:p>
        </w:tc>
        <w:tc>
          <w:tcPr/>
          <w:p>
            <w:pPr>
              <w:pStyle w:val="Compact"/>
              <w:jc w:val="left"/>
            </w:pPr>
            <w:r>
              <w:t xml:space="preserve">100,000,000</w:t>
            </w:r>
          </w:p>
        </w:tc>
      </w:tr>
      <w:tr>
        <w:tc>
          <w:tcPr/>
          <w:p>
            <w:pPr>
              <w:pStyle w:val="Compact"/>
              <w:jc w:val="left"/>
            </w:pPr>
            <w:r>
              <w:t xml:space="preserve">2</w:t>
            </w:r>
          </w:p>
        </w:tc>
        <w:tc>
          <w:tcPr/>
          <w:p>
            <w:pPr>
              <w:pStyle w:val="Compact"/>
              <w:jc w:val="left"/>
            </w:pPr>
            <w:r>
              <w:rPr>
                <w:bCs/>
                <w:b/>
              </w:rPr>
              <w:t xml:space="preserve">Structural Integrity Assessment</w:t>
            </w:r>
            <w:r>
              <w:br/>
            </w:r>
            <w:r>
              <w:t xml:space="preserve">Finite Element Analysis (FEA) performed by a senior Aerospace Engineer to evaluate the stress distribution on the landing gear assembly. This ensures compliance with international aviation safety standards while maintaining lightweight design principles essential for modern aerospace applications in Iran.</w:t>
            </w:r>
          </w:p>
        </w:tc>
        <w:tc>
          <w:tcPr/>
          <w:p>
            <w:pPr>
              <w:pStyle w:val="Compact"/>
              <w:jc w:val="left"/>
            </w:pPr>
            <w:r>
              <w:t xml:space="preserve">25 Hrs</w:t>
            </w:r>
          </w:p>
        </w:tc>
        <w:tc>
          <w:tcPr/>
          <w:p>
            <w:pPr>
              <w:pStyle w:val="Compact"/>
              <w:jc w:val="left"/>
            </w:pPr>
            <w:r>
              <w:t xml:space="preserve">2,500,000</w:t>
            </w:r>
          </w:p>
        </w:tc>
        <w:tc>
          <w:tcPr/>
          <w:p>
            <w:pPr>
              <w:pStyle w:val="Compact"/>
              <w:jc w:val="left"/>
            </w:pPr>
            <w:r>
              <w:t xml:space="preserve">62,500,000</w:t>
            </w:r>
          </w:p>
        </w:tc>
      </w:tr>
      <w:tr>
        <w:tc>
          <w:tcPr/>
          <w:p>
            <w:pPr>
              <w:pStyle w:val="Compact"/>
              <w:jc w:val="left"/>
            </w:pPr>
            <w:r>
              <w:t xml:space="preserve">3</w:t>
            </w:r>
          </w:p>
        </w:tc>
        <w:tc>
          <w:tcPr/>
          <w:p>
            <w:pPr>
              <w:pStyle w:val="Compact"/>
              <w:jc w:val="left"/>
            </w:pPr>
            <w:r>
              <w:rPr>
                <w:bCs/>
                <w:b/>
              </w:rPr>
              <w:t xml:space="preserve">Propulsion System Optimization</w:t>
            </w:r>
            <w:r>
              <w:br/>
            </w:r>
            <w:r>
              <w:t xml:space="preserve">Technical review and optimization of the jet engine intake design. The Aerospace Engineer provided detailed recommendations to reduce thermal stress and improve fuel efficiency. This phase included on-site meetings at the facility in Tehran to inspect physical prototypes.</w:t>
            </w:r>
          </w:p>
        </w:tc>
        <w:tc>
          <w:tcPr/>
          <w:p>
            <w:pPr>
              <w:pStyle w:val="Compact"/>
              <w:jc w:val="left"/>
            </w:pPr>
            <w:r>
              <w:t xml:space="preserve">30 Hrs</w:t>
            </w:r>
          </w:p>
        </w:tc>
        <w:tc>
          <w:tcPr/>
          <w:p>
            <w:pPr>
              <w:pStyle w:val="Compact"/>
              <w:jc w:val="left"/>
            </w:pPr>
            <w:r>
              <w:t xml:space="preserve">2,500,000</w:t>
            </w:r>
          </w:p>
        </w:tc>
        <w:tc>
          <w:tcPr/>
          <w:p>
            <w:pPr>
              <w:pStyle w:val="Compact"/>
              <w:jc w:val="left"/>
            </w:pPr>
            <w:r>
              <w:t xml:space="preserve">75,000,000</w:t>
            </w:r>
          </w:p>
        </w:tc>
      </w:tr>
      <w:tr>
        <w:tc>
          <w:tcPr/>
          <w:p>
            <w:pPr>
              <w:pStyle w:val="Compact"/>
              <w:jc w:val="left"/>
            </w:pPr>
            <w:r>
              <w:t xml:space="preserve">4</w:t>
            </w:r>
          </w:p>
        </w:tc>
        <w:tc>
          <w:tcPr/>
          <w:p>
            <w:pPr>
              <w:pStyle w:val="Compact"/>
              <w:jc w:val="left"/>
            </w:pPr>
            <w:r>
              <w:rPr>
                <w:bCs/>
                <w:b/>
              </w:rPr>
              <w:t xml:space="preserve">Regulatory Compliance Documentation</w:t>
            </w:r>
            <w:r>
              <w:br/>
            </w:r>
            <w:r>
              <w:t xml:space="preserve">Preparation of technical documentation required for local regulatory bodies in Iran. The Aerospace Engineer ensured all design specifications meet the necessary safety and operational guidelines for aerospace vehicles operating within the airspace of Tehran and surrounding provinces.</w:t>
            </w:r>
          </w:p>
        </w:tc>
        <w:tc>
          <w:tcPr/>
          <w:p>
            <w:pPr>
              <w:pStyle w:val="Compact"/>
              <w:jc w:val="left"/>
            </w:pPr>
            <w:r>
              <w:t xml:space="preserve">15 Hrs</w:t>
            </w:r>
          </w:p>
        </w:tc>
        <w:tc>
          <w:tcPr/>
          <w:p>
            <w:pPr>
              <w:pStyle w:val="Compact"/>
              <w:jc w:val="left"/>
            </w:pPr>
            <w:r>
              <w:t xml:space="preserve">2,000,000</w:t>
            </w:r>
          </w:p>
        </w:tc>
        <w:tc>
          <w:tcPr/>
          <w:p>
            <w:pPr>
              <w:pStyle w:val="Compact"/>
              <w:jc w:val="left"/>
            </w:pPr>
            <w:r>
              <w:t xml:space="preserve">30,000,000</w:t>
            </w:r>
          </w:p>
        </w:tc>
      </w:tr>
      <w:tr>
        <w:tc>
          <w:tcPr/>
          <w:p>
            <w:pPr>
              <w:pStyle w:val="Compact"/>
              <w:jc w:val="left"/>
            </w:pPr>
            <w:r>
              <w:t xml:space="preserve">5</w:t>
            </w:r>
          </w:p>
        </w:tc>
        <w:tc>
          <w:tcPr/>
          <w:p>
            <w:pPr>
              <w:pStyle w:val="Compact"/>
              <w:jc w:val="left"/>
            </w:pPr>
            <w:r>
              <w:rPr>
                <w:bCs/>
                <w:b/>
              </w:rPr>
              <w:t xml:space="preserve">Project Management &amp; Reporting</w:t>
            </w:r>
            <w:r>
              <w:br/>
            </w:r>
            <w:r>
              <w:t xml:space="preserve">Coordination of engineering tasks, progress reporting, and final technical presentation to the client stakeholders in Tehran. Includes detailed logs of engineering decisions and risk assessments.</w:t>
            </w:r>
          </w:p>
        </w:tc>
        <w:tc>
          <w:tcPr/>
          <w:p>
            <w:pPr>
              <w:pStyle w:val="Compact"/>
              <w:jc w:val="left"/>
            </w:pPr>
            <w:r>
              <w:t xml:space="preserve">10 Hrs</w:t>
            </w:r>
          </w:p>
        </w:tc>
        <w:tc>
          <w:tcPr/>
          <w:p>
            <w:pPr>
              <w:pStyle w:val="Compact"/>
              <w:jc w:val="left"/>
            </w:pPr>
            <w:r>
              <w:t xml:space="preserve">1,500,000</w:t>
            </w:r>
          </w:p>
        </w:tc>
        <w:tc>
          <w:tcPr/>
          <w:p>
            <w:pPr>
              <w:pStyle w:val="Compact"/>
              <w:jc w:val="left"/>
            </w:pPr>
            <w:r>
              <w:t xml:space="preserve">15,000,000</w:t>
            </w:r>
          </w:p>
        </w:tc>
      </w:tr>
    </w:tbl>
    <w:p>
      <w:pPr>
        <w:pStyle w:val="BodyText"/>
      </w:pPr>
      <w:r>
        <w:t xml:space="preserve">Subtotal:</w:t>
      </w:r>
      <w:r>
        <w:t xml:space="preserve"> </w:t>
      </w:r>
      <w:r>
        <w:t xml:space="preserve">282,500,000 IRR</w:t>
      </w:r>
    </w:p>
    <w:p>
      <w:pPr>
        <w:pStyle w:val="BodyText"/>
      </w:pPr>
      <w:r>
        <w:t xml:space="preserve">VAT (9%):</w:t>
      </w:r>
      <w:r>
        <w:t xml:space="preserve"> </w:t>
      </w:r>
      <w:r>
        <w:t xml:space="preserve">25,425,000 IRR</w:t>
      </w:r>
    </w:p>
    <w:p>
      <w:pPr>
        <w:pStyle w:val="BodyText"/>
      </w:pPr>
      <w:r>
        <w:t xml:space="preserve">Total Amount Due:</w:t>
      </w:r>
      <w:r>
        <w:t xml:space="preserve"> </w:t>
      </w:r>
      <w:r>
        <w:t xml:space="preserve">307,925,000 IRR</w:t>
      </w:r>
    </w:p>
    <w:bookmarkStart w:id="23" w:name="terms-and-conditions"/>
    <w:p>
      <w:pPr>
        <w:pStyle w:val="Heading4"/>
      </w:pPr>
      <w:r>
        <w:t xml:space="preserve">Terms and Conditions</w:t>
      </w:r>
    </w:p>
    <w:p>
      <w:pPr>
        <w:pStyle w:val="FirstParagraph"/>
      </w:pPr>
      <w:r>
        <w:t xml:space="preserve">1.</w:t>
      </w:r>
      <w:r>
        <w:t xml:space="preserve"> </w:t>
      </w:r>
      <w:r>
        <w:rPr>
          <w:bCs/>
          <w:b/>
        </w:rPr>
        <w:t xml:space="preserve">Payment Terms:</w:t>
      </w:r>
      <w:r>
        <w:t xml:space="preserve"> </w:t>
      </w:r>
      <w:r>
        <w:t xml:space="preserve">Payment is due within 30 days of the invoice date. Please reference Invoice Number INV-TEH-2023-089 on all payments.</w:t>
      </w:r>
    </w:p>
    <w:p>
      <w:pPr>
        <w:pStyle w:val="BodyText"/>
      </w:pPr>
      <w:r>
        <w:t xml:space="preserve">2.</w:t>
      </w:r>
      <w:r>
        <w:t xml:space="preserve"> </w:t>
      </w:r>
      <w:r>
        <w:rPr>
          <w:bCs/>
          <w:b/>
        </w:rPr>
        <w:t xml:space="preserve">Currency:</w:t>
      </w:r>
      <w:r>
        <w:t xml:space="preserve"> </w:t>
      </w:r>
      <w:r>
        <w:t xml:space="preserve">All amounts are quoted in Iranian Rial (IRR).</w:t>
      </w:r>
    </w:p>
    <w:p>
      <w:pPr>
        <w:pStyle w:val="BodyText"/>
      </w:pPr>
      <w:r>
        <w:t xml:space="preserve">3.</w:t>
      </w:r>
      <w:r>
        <w:t xml:space="preserve"> </w:t>
      </w:r>
      <w:r>
        <w:rPr>
          <w:bCs/>
          <w:b/>
        </w:rPr>
        <w:t xml:space="preserve">Scope of Work:</w:t>
      </w:r>
      <w:r>
        <w:t xml:space="preserve"> </w:t>
      </w:r>
      <w:r>
        <w:t xml:space="preserve">This Invoice covers the professional services rendered by our certified Aerospace Engineer team as detailed above. Any additional requests for design changes or further analysis outside the agreed scope will be billed separately.</w:t>
      </w:r>
    </w:p>
    <w:p>
      <w:pPr>
        <w:pStyle w:val="BodyText"/>
      </w:pPr>
      <w:r>
        <w:t xml:space="preserve">4.</w:t>
      </w:r>
      <w:r>
        <w:t xml:space="preserve"> </w:t>
      </w:r>
      <w:r>
        <w:rPr>
          <w:bCs/>
          <w:b/>
        </w:rPr>
        <w:t xml:space="preserve">Confidentiality:</w:t>
      </w:r>
      <w:r>
        <w:t xml:space="preserve"> </w:t>
      </w:r>
      <w:r>
        <w:t xml:space="preserve">All data, designs, and technical information exchanged between Aviation &amp; Space Engineering Solutions and the client regarding this project in Tehran are strictly confidential and subject to the Non-Disclosure Agreement signed on September 1, 2023.</w:t>
      </w:r>
    </w:p>
    <w:p>
      <w:pPr>
        <w:pStyle w:val="BodyText"/>
      </w:pPr>
      <w:r>
        <w:t xml:space="preserve">5.</w:t>
      </w:r>
      <w:r>
        <w:t xml:space="preserve"> </w:t>
      </w:r>
      <w:r>
        <w:rPr>
          <w:bCs/>
          <w:b/>
        </w:rPr>
        <w:t xml:space="preserve">Bank Details:</w:t>
      </w:r>
      <w:r>
        <w:br/>
      </w:r>
      <w:r>
        <w:t xml:space="preserve">Bank: Bank Melli Iran</w:t>
      </w:r>
      <w:r>
        <w:br/>
      </w:r>
      <w:r>
        <w:t xml:space="preserve">Branch: Valiasr Branch, Tehran</w:t>
      </w:r>
      <w:r>
        <w:br/>
      </w:r>
      <w:r>
        <w:t xml:space="preserve">Account Name: Aviation &amp; Space Engineering Solutions Co.</w:t>
      </w:r>
      <w:r>
        <w:br/>
      </w:r>
      <w:r>
        <w:t xml:space="preserve">IBAN: IR88 0500 0000 0000 1234 5678 90</w:t>
      </w:r>
    </w:p>
    <w:p>
      <w:pPr>
        <w:pStyle w:val="BodyText"/>
      </w:pPr>
      <w:r>
        <w:t xml:space="preserve">6.</w:t>
      </w:r>
      <w:r>
        <w:t xml:space="preserve"> </w:t>
      </w:r>
      <w:r>
        <w:rPr>
          <w:bCs/>
          <w:b/>
        </w:rPr>
        <w:t xml:space="preserve">Late Payments:</w:t>
      </w:r>
      <w:r>
        <w:t xml:space="preserve"> </w:t>
      </w:r>
      <w:r>
        <w:t xml:space="preserve">A late fee of 2% per month will be applied to any outstanding balance after the due date.</w:t>
      </w:r>
    </w:p>
    <w:p>
      <w:pPr>
        <w:pStyle w:val="BodyText"/>
      </w:pPr>
      <w:r>
        <w:t xml:space="preserve">Thank you for choosing our Aerospace Engineering services. We are committed to advancing aerospace technology in Iran through precision engineering and innovative solutions.</w:t>
      </w:r>
    </w:p>
    <w:bookmarkEnd w:id="23"/>
    <w:p>
      <w:pPr>
        <w:pStyle w:val="BodyText"/>
      </w:pPr>
      <w:r>
        <w:t xml:space="preserve">Authorized Signature (Provider)</w:t>
      </w:r>
      <w:r>
        <w:br/>
      </w:r>
      <w:r>
        <w:rPr>
          <w:iCs/>
          <w:i/>
        </w:rPr>
        <w:t xml:space="preserve">Dr. Ali Rezaei, Lead Aerospace Engineer</w:t>
      </w:r>
    </w:p>
    <w:p>
      <w:pPr>
        <w:pStyle w:val="BodyText"/>
      </w:pPr>
      <w:r>
        <w:t xml:space="preserve">Received By (Client)</w:t>
      </w:r>
      <w:r>
        <w:br/>
      </w:r>
      <w:r>
        <w:rPr>
          <w:iCs/>
          <w:i/>
        </w:rP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2026-10-10T07:26:32Z</dcterms:created>
  <dcterms:modified xsi:type="dcterms:W3CDTF">2026-10-10T07:26:32Z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