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s.r.l."/>
    <w:p>
      <w:pPr>
        <w:pStyle w:val="Heading1"/>
      </w:pPr>
      <w:r>
        <w:t xml:space="preserve">AeroTech Solutions S.r.l.</w:t>
      </w:r>
    </w:p>
    <w:p>
      <w:pPr>
        <w:pStyle w:val="FirstParagraph"/>
      </w:pPr>
      <w:r>
        <w:t xml:space="preserve">Via Acton, 123</w:t>
      </w:r>
    </w:p>
    <w:p>
      <w:pPr>
        <w:pStyle w:val="BodyText"/>
      </w:pPr>
      <w:r>
        <w:t xml:space="preserve">80134 Naples, Italy</w:t>
      </w:r>
    </w:p>
    <w:p>
      <w:pPr>
        <w:pStyle w:val="BodyText"/>
      </w:pPr>
      <w:r>
        <w:t xml:space="preserve">P.IVA: IT01234567890</w:t>
      </w:r>
    </w:p>
    <w:p>
      <w:pPr>
        <w:pStyle w:val="BodyText"/>
      </w:pPr>
      <w:r>
        <w:t xml:space="preserve">REA: NA-123456</w:t>
      </w:r>
    </w:p>
    <w:p>
      <w:pPr>
        <w:pStyle w:val="BodyText"/>
      </w:pPr>
      <w:r>
        <w:t xml:space="preserve">Email: billing@aerotech-naples.it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Reference:</w:t>
      </w:r>
      <w:r>
        <w:t xml:space="preserve"> </w:t>
      </w:r>
      <w:r>
        <w:t xml:space="preserve">Project AERO-NAP-2023-X</w:t>
      </w:r>
    </w:p>
    <w:bookmarkEnd w:id="21"/>
    <w:bookmarkStart w:id="22" w:name="bill-to"/>
    <w:p>
      <w:pPr>
        <w:pStyle w:val="Heading3"/>
      </w:pPr>
      <w:r>
        <w:t xml:space="preserve">Bill To:</w:t>
      </w:r>
    </w:p>
    <w:p>
      <w:pPr>
        <w:pStyle w:val="FirstParagraph"/>
      </w:pPr>
      <w:r>
        <w:rPr>
          <w:bCs/>
          <w:b/>
        </w:rPr>
        <w:t xml:space="preserve">European Aerospace Consortium</w:t>
      </w:r>
    </w:p>
    <w:p>
      <w:pPr>
        <w:pStyle w:val="BodyText"/>
      </w:pPr>
      <w:r>
        <w:t xml:space="preserve">Attn: Procurement Department</w:t>
      </w:r>
    </w:p>
    <w:p>
      <w:pPr>
        <w:pStyle w:val="BodyText"/>
      </w:pPr>
      <w:r>
        <w:t xml:space="preserve">Via Partenope, 45</w:t>
      </w:r>
    </w:p>
    <w:p>
      <w:pPr>
        <w:pStyle w:val="BodyText"/>
      </w:pPr>
      <w:r>
        <w:t xml:space="preserve">80121 Naples, Italy</w:t>
      </w:r>
    </w:p>
    <w:p>
      <w:pPr>
        <w:pStyle w:val="BodyText"/>
      </w:pPr>
      <w:r>
        <w:t xml:space="preserve">P.IVA: IT98765432100</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Aerospace Engineer Consultation: Aerodynamic Analysis</w:t>
            </w:r>
            <w:r>
              <w:br/>
            </w:r>
            <w:r>
              <w:t xml:space="preserve">Comprehensive computational fluid dynamics (CFD) analysis for the new regional transport aircraft wing design. This service includes the creation of high-fidelity mesh models, simulation of transonic flow conditions, and optimization of lift-to-drag ratios. The analysis was conducted specifically to meet the rigorous safety and efficiency standards required for certification within the European Union aviation market.</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Structural Integrity Assessment &amp; Finite Element Analysis</w:t>
            </w:r>
            <w:r>
              <w:br/>
            </w:r>
            <w:r>
              <w:t xml:space="preserve">Detailed structural evaluation of the fuselage composite materials under extreme load conditions. The Aerospace Engineer performed static and dynamic stress testing simulations to ensure compliance with EASA (European Union Aviation Safety Agency) regulations. This phase involved reviewing material fatigue data and proposing reinforcement strategies for the landing gear attachment points.</w:t>
            </w:r>
          </w:p>
        </w:tc>
        <w:tc>
          <w:tcPr/>
          <w:p>
            <w:pPr>
              <w:pStyle w:val="Compact"/>
              <w:jc w:val="left"/>
            </w:pPr>
            <w:r>
              <w:t xml:space="preserve">35.0</w:t>
            </w:r>
          </w:p>
        </w:tc>
        <w:tc>
          <w:tcPr/>
          <w:p>
            <w:pPr>
              <w:pStyle w:val="Compact"/>
              <w:jc w:val="left"/>
            </w:pPr>
            <w:r>
              <w:t xml:space="preserve">150.00</w:t>
            </w:r>
          </w:p>
        </w:tc>
        <w:tc>
          <w:tcPr/>
          <w:p>
            <w:pPr>
              <w:pStyle w:val="Compact"/>
              <w:jc w:val="left"/>
            </w:pPr>
            <w:r>
              <w:t xml:space="preserve">5,250.00</w:t>
            </w:r>
          </w:p>
        </w:tc>
      </w:tr>
      <w:tr>
        <w:tc>
          <w:tcPr/>
          <w:p>
            <w:pPr>
              <w:pStyle w:val="Compact"/>
              <w:jc w:val="left"/>
            </w:pPr>
            <w:r>
              <w:t xml:space="preserve">3</w:t>
            </w:r>
          </w:p>
        </w:tc>
        <w:tc>
          <w:tcPr/>
          <w:p>
            <w:pPr>
              <w:pStyle w:val="Compact"/>
              <w:jc w:val="left"/>
            </w:pPr>
            <w:r>
              <w:rPr>
                <w:bCs/>
                <w:b/>
              </w:rPr>
              <w:t xml:space="preserve">Propulsion System Integration Review</w:t>
            </w:r>
            <w:r>
              <w:br/>
            </w:r>
            <w:r>
              <w:t xml:space="preserve">Technical review of the engine integration plan for the Naples-based prototype assembly line. The Aerospace Engineer assessed thermal management systems, exhaust nozzle geometry, and vibration isolation mounts. This service ensures that the propulsion unit interfaces correctly with the airframe without compromising structural integrity or aerodynamic performance.</w:t>
            </w:r>
          </w:p>
        </w:tc>
        <w:tc>
          <w:tcPr/>
          <w:p>
            <w:pPr>
              <w:pStyle w:val="Compact"/>
              <w:jc w:val="left"/>
            </w:pPr>
            <w:r>
              <w:t xml:space="preserve">20.0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Regulatory Compliance Documentation (EASA Part 21)</w:t>
            </w:r>
            <w:r>
              <w:br/>
            </w:r>
            <w:r>
              <w:t xml:space="preserve">Preparation and submission of technical documentation required for the type certification process. The Aerospace Engineer compiled design assurance reports, safety assessments, and environmental impact studies. This documentation is critical for obtaining the necessary airworthiness certificates to operate within Italian and European airspace.</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On-Site Technical Supervision at Naples Facility</w:t>
            </w:r>
            <w:r>
              <w:br/>
            </w:r>
            <w:r>
              <w:t xml:space="preserve">Direct oversight of the prototype assembly phase at the Naples industrial site. The Aerospace Engineer provided real-time guidance to the manufacturing team regarding tolerance checks, rivet patterns, and composite layup procedures. This hands-on supervision ensures that the physical build matches the digital design specifications exactly.</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p>
      <w:pPr>
        <w:pStyle w:val="BodyText"/>
      </w:pPr>
      <w:r>
        <w:t xml:space="preserve">Subtotal:</w:t>
      </w:r>
      <w:r>
        <w:t xml:space="preserve"> </w:t>
      </w:r>
      <w:r>
        <w:t xml:space="preserve">€18,250.00</w:t>
      </w:r>
    </w:p>
    <w:p>
      <w:pPr>
        <w:pStyle w:val="BodyText"/>
      </w:pPr>
      <w:r>
        <w:t xml:space="preserve">VAT (IVA) 22%:</w:t>
      </w:r>
      <w:r>
        <w:t xml:space="preserve"> </w:t>
      </w:r>
      <w:r>
        <w:t xml:space="preserve">€4,015.00</w:t>
      </w:r>
    </w:p>
    <w:p>
      <w:pPr>
        <w:pStyle w:val="BodyText"/>
      </w:pPr>
      <w:r>
        <w:t xml:space="preserve">TOTAL DUE:</w:t>
      </w:r>
      <w:r>
        <w:t xml:space="preserve"> </w:t>
      </w:r>
      <w:r>
        <w:t xml:space="preserve">€22,265.00</w:t>
      </w:r>
    </w:p>
    <w:bookmarkStart w:id="23"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INV-2023-10-042</w:t>
      </w:r>
    </w:p>
    <w:bookmarkEnd w:id="23"/>
    <w:bookmarkStart w:id="24" w:name="service-description-context"/>
    <w:p>
      <w:pPr>
        <w:pStyle w:val="Heading4"/>
      </w:pPr>
      <w:r>
        <w:t xml:space="preserve">Service Description Context</w:t>
      </w:r>
    </w:p>
    <w:p>
      <w:pPr>
        <w:pStyle w:val="FirstParagraph"/>
      </w:pPr>
      <w:r>
        <w:t xml:space="preserve">This Invoice represents the professional services rendered by a qualified Aerospace Engineer specializing in aircraft design, structural analysis, and propulsion systems. The work was performed in accordance with the highest standards of the aerospace industry, tailored specifically for the client's operations in Italy Naples. The engineer utilized advanced simulation software and adhered strictly to European aviation regulations to ensure the safety, efficiency, and airworthiness of the project components.</w:t>
      </w:r>
    </w:p>
    <w:p>
      <w:pPr>
        <w:pStyle w:val="BodyText"/>
      </w:pPr>
      <w:r>
        <w:t xml:space="preserve">Any disputes regarding this Invoice must be raised in writing within 14 days of receipt. Failure to pay by the due date may result in a late fee of 1.5% per month on the outstanding balance, in accordance with Italian commercial law.</w:t>
      </w:r>
    </w:p>
    <w:bookmarkEnd w:id="24"/>
    <w:p>
      <w:pPr>
        <w:pStyle w:val="BodyText"/>
      </w:pPr>
      <w:r>
        <w:t xml:space="preserve">AeroTech Solutions S.r.l. | Registered Office: Naples, Italy | VAT ID: IT01234567890</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2026-10-10T08:30:08Z</dcterms:created>
  <dcterms:modified xsi:type="dcterms:W3CDTF">2026-10-10T08:30:08Z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