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skyward-aerospace-solutions"/>
    <w:p>
      <w:pPr>
        <w:pStyle w:val="Heading1"/>
      </w:pPr>
      <w:r>
        <w:t xml:space="preserve">Skyward Aerospace Solutions</w:t>
      </w:r>
    </w:p>
    <w:p>
      <w:pPr>
        <w:pStyle w:val="FirstParagraph"/>
      </w:pPr>
      <w:r>
        <w:t xml:space="preserve">1-2-3 Otemachi, Chiyoda-ku</w:t>
      </w:r>
    </w:p>
    <w:p>
      <w:pPr>
        <w:pStyle w:val="BodyText"/>
      </w:pPr>
      <w:r>
        <w:t xml:space="preserve">Tokyo, Japan 100-0004</w:t>
      </w:r>
    </w:p>
    <w:p>
      <w:pPr>
        <w:pStyle w:val="BodyText"/>
      </w:pPr>
      <w:r>
        <w:t xml:space="preserve">Tel: +81-3-1234-5678</w:t>
      </w:r>
    </w:p>
    <w:p>
      <w:pPr>
        <w:pStyle w:val="BodyText"/>
      </w:pPr>
      <w:r>
        <w:t xml:space="preserve">Email: billing@skyward-aero.jp</w:t>
      </w:r>
    </w:p>
    <w:p>
      <w:pPr>
        <w:pStyle w:val="BodyText"/>
      </w:pPr>
      <w:r>
        <w:t xml:space="preserve">Corporate Number: 1234567890123</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Global Aviation Systems Ltd.</w:t>
      </w:r>
    </w:p>
    <w:p>
      <w:pPr>
        <w:pStyle w:val="BodyText"/>
      </w:pPr>
      <w:r>
        <w:t xml:space="preserve">Attn: Procurement Department</w:t>
      </w:r>
    </w:p>
    <w:p>
      <w:pPr>
        <w:pStyle w:val="BodyText"/>
      </w:pPr>
      <w:r>
        <w:t xml:space="preserve">5-1-1 Roppongi, Minato-ku</w:t>
      </w:r>
    </w:p>
    <w:p>
      <w:pPr>
        <w:pStyle w:val="BodyText"/>
      </w:pPr>
      <w:r>
        <w:t xml:space="preserve">Tokyo, Japan 106-0032</w:t>
      </w:r>
    </w:p>
    <w:p>
      <w:pPr>
        <w:pStyle w:val="BodyText"/>
      </w:pPr>
      <w:r>
        <w:t xml:space="preserve">Japan</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Aero-Struct-Analysis-TKY</w:t>
      </w:r>
    </w:p>
    <w:bookmarkEnd w:id="23"/>
    <w:p>
      <w:pPr>
        <w:pStyle w:val="BodyText"/>
      </w:pPr>
      <w:r>
        <w:t xml:space="preserve">Dear Valued Client,</w:t>
      </w:r>
    </w:p>
    <w:p>
      <w:pPr>
        <w:pStyle w:val="BodyText"/>
      </w:pPr>
      <w:r>
        <w:t xml:space="preserve">Please find attached the formal Invoice for the specialized consulting and technical services provided by our team of Senior Aerospace Engineers. This document outlines the professional fees associated with the structural integrity analysis and aerodynamic optimization project conducted within our Tokyo headquarters. As per our agreement, these services were rendered to support your ongoing development of next-generation commercial aviation components.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(JPY)</w:t>
            </w:r>
          </w:p>
        </w:tc>
        <w:tc>
          <w:tcPr/>
          <w:p>
            <w:pPr>
              <w:pStyle w:val="Compact"/>
              <w:jc w:val="left"/>
            </w:pPr>
            <w:r>
              <w:t xml:space="preserve">Total (JPY)</w:t>
            </w:r>
          </w:p>
        </w:tc>
      </w:tr>
      <w:tr>
        <w:tc>
          <w:tcPr/>
          <w:p>
            <w:pPr>
              <w:pStyle w:val="Compact"/>
              <w:jc w:val="left"/>
            </w:pPr>
            <w:r>
              <w:rPr>
                <w:bCs/>
                <w:b/>
              </w:rPr>
              <w:t xml:space="preserve">Phase 1: Preliminary Aerodynamic Assessment</w:t>
            </w:r>
            <w:r>
              <w:br/>
            </w:r>
            <w:r>
              <w:t xml:space="preserve">Comprehensive computational fluid dynamics (CFD) simulation for winglet design optimization. Conducted by Lead Aerospace Engineer in Tokyo.</w:t>
            </w:r>
          </w:p>
        </w:tc>
        <w:tc>
          <w:tcPr/>
          <w:p>
            <w:pPr>
              <w:pStyle w:val="Compact"/>
              <w:jc w:val="left"/>
            </w:pPr>
            <w:r>
              <w:t xml:space="preserve">40 Hours</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Phase 2: Structural Load Analysis</w:t>
            </w:r>
            <w:r>
              <w:br/>
            </w:r>
            <w:r>
              <w:t xml:space="preserve">Finite element analysis (FEA) of fuselage stress points under maximum takeoff weight conditions. Includes material fatigue testing reports.</w:t>
            </w:r>
          </w:p>
        </w:tc>
        <w:tc>
          <w:tcPr/>
          <w:p>
            <w:pPr>
              <w:pStyle w:val="Compact"/>
              <w:jc w:val="left"/>
            </w:pPr>
            <w:r>
              <w:t xml:space="preserve">60 Hours</w:t>
            </w:r>
          </w:p>
        </w:tc>
        <w:tc>
          <w:tcPr/>
          <w:p>
            <w:pPr>
              <w:pStyle w:val="Compact"/>
              <w:jc w:val="left"/>
            </w:pPr>
            <w:r>
              <w:t xml:space="preserve">25,000</w:t>
            </w:r>
          </w:p>
        </w:tc>
        <w:tc>
          <w:tcPr/>
          <w:p>
            <w:pPr>
              <w:pStyle w:val="Compact"/>
              <w:jc w:val="left"/>
            </w:pPr>
            <w:r>
              <w:t xml:space="preserve">1,500,000</w:t>
            </w:r>
          </w:p>
        </w:tc>
      </w:tr>
      <w:tr>
        <w:tc>
          <w:tcPr/>
          <w:p>
            <w:pPr>
              <w:pStyle w:val="Compact"/>
              <w:jc w:val="left"/>
            </w:pPr>
            <w:r>
              <w:rPr>
                <w:bCs/>
                <w:b/>
              </w:rPr>
              <w:t xml:space="preserve">Phase 3: Regulatory Compliance Review</w:t>
            </w:r>
            <w:r>
              <w:br/>
            </w:r>
            <w:r>
              <w:t xml:space="preserve">Detailed review of design specifications against Japan Civil Aviation Bureau (JCAB) and FAA standards. Documentation preparation for certification.</w:t>
            </w:r>
          </w:p>
        </w:tc>
        <w:tc>
          <w:tcPr/>
          <w:p>
            <w:pPr>
              <w:pStyle w:val="Compact"/>
              <w:jc w:val="left"/>
            </w:pPr>
            <w:r>
              <w:t xml:space="preserve">20 Hours</w:t>
            </w:r>
          </w:p>
        </w:tc>
        <w:tc>
          <w:tcPr/>
          <w:p>
            <w:pPr>
              <w:pStyle w:val="Compact"/>
              <w:jc w:val="left"/>
            </w:pPr>
            <w:r>
              <w:t xml:space="preserve">30,000</w:t>
            </w:r>
          </w:p>
        </w:tc>
        <w:tc>
          <w:tcPr/>
          <w:p>
            <w:pPr>
              <w:pStyle w:val="Compact"/>
              <w:jc w:val="left"/>
            </w:pPr>
            <w:r>
              <w:t xml:space="preserve">600,000</w:t>
            </w:r>
          </w:p>
        </w:tc>
      </w:tr>
      <w:tr>
        <w:tc>
          <w:tcPr/>
          <w:p>
            <w:pPr>
              <w:pStyle w:val="Compact"/>
              <w:jc w:val="left"/>
            </w:pPr>
            <w:r>
              <w:rPr>
                <w:bCs/>
                <w:b/>
              </w:rPr>
              <w:t xml:space="preserve">Technical Reporting &amp; Consultation</w:t>
            </w:r>
            <w:r>
              <w:br/>
            </w:r>
            <w:r>
              <w:t xml:space="preserve">Final presentation of findings to the engineering board in Tokyo. Includes detailed technical manuals and digital asset transfer.</w:t>
            </w:r>
          </w:p>
        </w:tc>
        <w:tc>
          <w:tcPr/>
          <w:p>
            <w:pPr>
              <w:pStyle w:val="Compact"/>
              <w:jc w:val="left"/>
            </w:pPr>
            <w:r>
              <w:t xml:space="preserve">10 Hours</w:t>
            </w:r>
          </w:p>
        </w:tc>
        <w:tc>
          <w:tcPr/>
          <w:p>
            <w:pPr>
              <w:pStyle w:val="Compact"/>
              <w:jc w:val="left"/>
            </w:pPr>
            <w:r>
              <w:t xml:space="preserve">30,000</w:t>
            </w:r>
          </w:p>
        </w:tc>
        <w:tc>
          <w:tcPr/>
          <w:p>
            <w:pPr>
              <w:pStyle w:val="Compact"/>
              <w:jc w:val="left"/>
            </w:pPr>
            <w:r>
              <w:t xml:space="preserve">300,000</w:t>
            </w:r>
          </w:p>
        </w:tc>
      </w:tr>
    </w:tbl>
    <w:p>
      <w:pPr>
        <w:pStyle w:val="BodyText"/>
      </w:pPr>
      <w:r>
        <w:t xml:space="preserve">Subtotal:</w:t>
      </w:r>
      <w:r>
        <w:t xml:space="preserve"> </w:t>
      </w:r>
      <w:r>
        <w:t xml:space="preserve">¥3,400,000</w:t>
      </w:r>
    </w:p>
    <w:p>
      <w:pPr>
        <w:pStyle w:val="BodyText"/>
      </w:pPr>
      <w:r>
        <w:t xml:space="preserve">Consumption Tax (10%):</w:t>
      </w:r>
      <w:r>
        <w:t xml:space="preserve"> </w:t>
      </w:r>
      <w:r>
        <w:t xml:space="preserve">¥340,000</w:t>
      </w:r>
    </w:p>
    <w:p>
      <w:pPr>
        <w:pStyle w:val="BodyText"/>
      </w:pPr>
      <w:r>
        <w:t xml:space="preserve">Total Amount Due:</w:t>
      </w:r>
      <w:r>
        <w:t xml:space="preserve"> </w:t>
      </w:r>
      <w:r>
        <w:t xml:space="preserve">¥3,740,000</w:t>
      </w:r>
    </w:p>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of the invoice date. Late payments may incur a penalty interest rate of 1.5% per month.</w:t>
      </w:r>
    </w:p>
    <w:p>
      <w:pPr>
        <w:numPr>
          <w:ilvl w:val="0"/>
          <w:numId w:val="1001"/>
        </w:numPr>
        <w:pStyle w:val="Compact"/>
      </w:pPr>
      <w:r>
        <w:rPr>
          <w:bCs/>
          <w:b/>
        </w:rPr>
        <w:t xml:space="preserve">Currency:</w:t>
      </w:r>
      <w:r>
        <w:t xml:space="preserve"> </w:t>
      </w:r>
      <w:r>
        <w:t xml:space="preserve">All amounts are quoted in Japanese Yen (JPY). Payments must be made in JPY to avoid exchange rate discrepancies.</w:t>
      </w:r>
    </w:p>
    <w:p>
      <w:pPr>
        <w:numPr>
          <w:ilvl w:val="0"/>
          <w:numId w:val="1001"/>
        </w:numPr>
        <w:pStyle w:val="Compact"/>
      </w:pPr>
      <w:r>
        <w:rPr>
          <w:bCs/>
          <w:b/>
        </w:rPr>
        <w:t xml:space="preserve">Bank Transfer Details:</w:t>
      </w:r>
    </w:p>
    <w:p>
      <w:pPr>
        <w:numPr>
          <w:ilvl w:val="1"/>
          <w:numId w:val="1002"/>
        </w:numPr>
        <w:pStyle w:val="Compact"/>
      </w:pPr>
      <w:r>
        <w:t xml:space="preserve">Bank Name: Mitsubishi UFJ Bank</w:t>
      </w:r>
    </w:p>
    <w:p>
      <w:pPr>
        <w:numPr>
          <w:ilvl w:val="1"/>
          <w:numId w:val="1002"/>
        </w:numPr>
        <w:pStyle w:val="Compact"/>
      </w:pPr>
      <w:r>
        <w:t xml:space="preserve">Branch: Marunouchi Branch (Tokyo)</w:t>
      </w:r>
    </w:p>
    <w:p>
      <w:pPr>
        <w:numPr>
          <w:ilvl w:val="1"/>
          <w:numId w:val="1002"/>
        </w:numPr>
        <w:pStyle w:val="Compact"/>
      </w:pPr>
      <w:r>
        <w:t xml:space="preserve">Account Type: Ordinary Account</w:t>
      </w:r>
    </w:p>
    <w:p>
      <w:pPr>
        <w:numPr>
          <w:ilvl w:val="1"/>
          <w:numId w:val="1002"/>
        </w:numPr>
        <w:pStyle w:val="Compact"/>
      </w:pPr>
      <w:r>
        <w:t xml:space="preserve">Account Number: 1234567</w:t>
      </w:r>
    </w:p>
    <w:p>
      <w:pPr>
        <w:numPr>
          <w:ilvl w:val="1"/>
          <w:numId w:val="1002"/>
        </w:numPr>
        <w:pStyle w:val="Compact"/>
      </w:pPr>
      <w:r>
        <w:t xml:space="preserve">Account Name: Skyward Aerospace Solutions K.K.</w:t>
      </w:r>
    </w:p>
    <w:p>
      <w:pPr>
        <w:numPr>
          <w:ilvl w:val="0"/>
          <w:numId w:val="1001"/>
        </w:numPr>
        <w:pStyle w:val="Compact"/>
      </w:pPr>
      <w:r>
        <w:rPr>
          <w:bCs/>
          <w:b/>
        </w:rPr>
        <w:t xml:space="preserve">Scope of Work:</w:t>
      </w:r>
      <w:r>
        <w:t xml:space="preserve"> </w:t>
      </w:r>
      <w:r>
        <w:t xml:space="preserve">This Invoice covers the specific engineering hours and deliverables listed above. Any additional requests for design modifications or further analysis will be billed separately upon approval.</w:t>
      </w:r>
    </w:p>
    <w:p>
      <w:pPr>
        <w:numPr>
          <w:ilvl w:val="0"/>
          <w:numId w:val="1001"/>
        </w:numPr>
        <w:pStyle w:val="Compact"/>
      </w:pPr>
      <w:r>
        <w:rPr>
          <w:bCs/>
          <w:b/>
        </w:rPr>
        <w:t xml:space="preserve">Confidentiality:</w:t>
      </w:r>
      <w:r>
        <w:t xml:space="preserve"> </w:t>
      </w:r>
      <w:r>
        <w:t xml:space="preserve">All data, designs, and reports provided by the Aerospace Engineer are confidential and proprietary to Global Aviation Systems Ltd. Skyward Aerospace Solutions agrees to maintain strict confidentiality regarding all project details.</w:t>
      </w:r>
    </w:p>
    <w:p>
      <w:pPr>
        <w:numPr>
          <w:ilvl w:val="0"/>
          <w:numId w:val="1001"/>
        </w:numPr>
        <w:pStyle w:val="Compact"/>
      </w:pPr>
      <w:r>
        <w:rPr>
          <w:bCs/>
          <w:b/>
        </w:rPr>
        <w:t xml:space="preserve">Dispute Resolution:</w:t>
      </w:r>
      <w:r>
        <w:t xml:space="preserve"> </w:t>
      </w:r>
      <w:r>
        <w:t xml:space="preserve">Any disputes arising from this Invoice or the services provided shall be resolved through arbitration in Tokyo, Japan, in accordance with Japanese law.</w:t>
      </w:r>
    </w:p>
    <w:bookmarkEnd w:id="24"/>
    <w:p>
      <w:pPr>
        <w:pStyle w:val="FirstParagraph"/>
      </w:pPr>
      <w:r>
        <w:rPr>
          <w:bCs/>
          <w:b/>
        </w:rPr>
        <w:t xml:space="preserve">Authorized Signature:</w:t>
      </w:r>
    </w:p>
    <w:p>
      <w:pPr>
        <w:pStyle w:val="BodyText"/>
      </w:pPr>
      <w:r>
        <w:t xml:space="preserve">Kenji Tanaka</w:t>
      </w:r>
    </w:p>
    <w:p>
      <w:pPr>
        <w:pStyle w:val="BodyText"/>
      </w:pPr>
      <w:r>
        <w:t xml:space="preserve">Chief Financial Officer</w:t>
      </w:r>
    </w:p>
    <w:p>
      <w:pPr>
        <w:pStyle w:val="BodyText"/>
      </w:pPr>
      <w:r>
        <w:t xml:space="preserve">Skyward Aerospace Solutions</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Global Aviation Systems Ltd.</w:t>
      </w:r>
    </w:p>
    <w:p>
      <w:pPr>
        <w:pStyle w:val="BodyText"/>
      </w:pPr>
      <w:r>
        <w:t xml:space="preserve">Thank you for your business. We appreciate the opportunity to contribute to your aerospace projects in Japan Tokyo. For any questions regarding this Invoice, please contact our finance department immediately.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2026-10-10T01:55:44Z</dcterms:created>
  <dcterms:modified xsi:type="dcterms:W3CDTF">2026-10-10T01:55:44Z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